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4"/>
          <w:szCs w:val="24"/>
        </w:rPr>
        <w:id w:val="-566495192"/>
        <w:docPartObj>
          <w:docPartGallery w:val="Cover Pages"/>
          <w:docPartUnique/>
        </w:docPartObj>
      </w:sdtPr>
      <w:sdtContent>
        <w:p w14:paraId="46B58D88" w14:textId="77777777" w:rsidR="00C10B70" w:rsidRDefault="00FC7D37" w:rsidP="00C10B70">
          <w:pPr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color w:val="26A22C"/>
              <w:sz w:val="24"/>
              <w:szCs w:val="24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1A2A500D" wp14:editId="78F435EF">
                    <wp:simplePos x="0" y="0"/>
                    <wp:positionH relativeFrom="page">
                      <wp:posOffset>-19685</wp:posOffset>
                    </wp:positionH>
                    <wp:positionV relativeFrom="margin">
                      <wp:posOffset>2540</wp:posOffset>
                    </wp:positionV>
                    <wp:extent cx="7767320" cy="9190990"/>
                    <wp:effectExtent l="38100" t="0" r="5080" b="29210"/>
                    <wp:wrapNone/>
                    <wp:docPr id="407" name="Grup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67320" cy="9190990"/>
                              <a:chOff x="0" y="-75"/>
                              <a:chExt cx="12232" cy="14474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2" cy="4738"/>
                                <a:chOff x="-6" y="3399"/>
                                <a:chExt cx="12189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>
                                    <a:headEnd/>
                                    <a:tailEnd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extLs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6" y="4086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6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6" y="3617"/>
                                  <a:ext cx="202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20000"/>
                                    <a:lumOff val="80000"/>
                                    <a:alpha val="70000"/>
                                  </a:scheme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2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92D05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0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92D050"/>
                                  </a:solidFill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0" y="-75"/>
                                <a:ext cx="8638" cy="319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  <w:alias w:val="Tvrtka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2BD8595F" w14:textId="77777777" w:rsidR="00B619B9" w:rsidRPr="00C10B70" w:rsidRDefault="00B619B9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6600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C10B70">
                                        <w:rPr>
                                          <w:b/>
                                          <w:bCs/>
                                          <w:color w:val="006600"/>
                                          <w:sz w:val="32"/>
                                          <w:szCs w:val="32"/>
                                        </w:rPr>
                                        <w:t>REPUBLIKA HRVATSKA</w:t>
                                      </w:r>
                                    </w:p>
                                  </w:sdtContent>
                                </w:sdt>
                                <w:p w14:paraId="25E95792" w14:textId="77777777" w:rsidR="00B619B9" w:rsidRPr="00C10B70" w:rsidRDefault="00B619B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C10B70"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  <w:t>BJELOVARSKO-BILOGORSKA ŽUPANIJA</w:t>
                                  </w:r>
                                </w:p>
                                <w:p w14:paraId="03D14F83" w14:textId="77777777" w:rsidR="00B619B9" w:rsidRPr="00C10B70" w:rsidRDefault="00B619B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</w:pPr>
                                  <w:r w:rsidRPr="00C10B70"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  <w:t xml:space="preserve">OPĆINA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6600"/>
                                      <w:sz w:val="32"/>
                                      <w:szCs w:val="32"/>
                                    </w:rPr>
                                    <w:t>SIRAČ</w:t>
                                  </w:r>
                                </w:p>
                                <w:p w14:paraId="0FE41568" w14:textId="77777777" w:rsidR="00B619B9" w:rsidRDefault="00B619B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7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Naslov"/>
                                    <w:id w:val="197208137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30780FC3" w14:textId="50976B7B" w:rsidR="00B619B9" w:rsidRDefault="006262F1" w:rsidP="00491F9F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 xml:space="preserve">IZVJEŠĆE O PROVEDBI </w:t>
                                      </w:r>
                                      <w:r w:rsidR="00B619B9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GODIŠNJ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EG</w:t>
                                      </w:r>
                                      <w:r w:rsidR="00B619B9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 xml:space="preserve"> PLAN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A</w:t>
                                      </w:r>
                                      <w:r w:rsidR="00B619B9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 xml:space="preserve"> UPRAVLJANJA IMOVINOM OPĆINE SIRAČ ZA 202</w:t>
                                      </w:r>
                                      <w:r w:rsidR="00D947A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  <w:r w:rsidR="00B619B9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. GODINU</w:t>
                                      </w:r>
                                    </w:p>
                                  </w:sdtContent>
                                </w:sdt>
                                <w:p w14:paraId="09017007" w14:textId="0051C05C" w:rsidR="00B619B9" w:rsidRPr="00C10B70" w:rsidRDefault="00B619B9">
                                  <w:pPr>
                                    <w:rPr>
                                      <w:b/>
                                      <w:bCs/>
                                      <w:color w:val="92D05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17337B43" w14:textId="77777777" w:rsidR="00B619B9" w:rsidRDefault="00B619B9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2A500D" id="Grupa 3" o:spid="_x0000_s1026" style="position:absolute;left:0;text-align:left;margin-left:-1.55pt;margin-top:.2pt;width:611.6pt;height:723.7pt;z-index:251661312;mso-position-horizontal-relative:page;mso-position-vertical-relative:margin;mso-height-relative:margin" coordorigin=",-75" coordsize="12232,1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" o:allowincell="f">
                    <v:group id="Group 4" o:spid="_x0000_s1027" style="position:absolute;top:9661;width:12232;height:4738" coordorigin="-6,3399" coordsize="12189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" path="m,l17,2863,7132,2578r,-2378l,xe" fillcolor="#9bbb59 [3206]" strokecolor="#4e6128 [1606]" strokeweight="2pt"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" path="m,569l,2930r3466,620l3466,,,569xe" fillcolor="white [3201]" strokecolor="#9bbb59 [3206]" strokeweight="2pt"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" path="m,l,3550,1591,2746r,-2009l,xe" fillcolor="white [3201]" strokecolor="#9bbb59 [3206]" strokeweight="2pt"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7976;top:4086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" path="m1,251l,2662r4120,251l4120,,1,251xe" fillcolor="white [3201]" strokecolor="#9bbb59 [3206]" strokeweight="2pt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066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-6;top:3617;width:202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" path="m,921l2060,r16,3851l,2981,,921xe" fillcolor="#eaf1dd [662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1982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" path="m,l17,3835,6011,2629r,-1390l,xe" fillcolor="#9bbb59 [3206]" strokecolor="#92d050" strokeweight="2pt"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50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" path="m,1038l,2411,4102,3432,4102,,,1038xe" fillcolor="#9bbb59 [3206]" strokecolor="#92d050" strokeweight="2pt"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610;top:-75;width:8638;height:3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alias w:val="Tvrtka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2BD8595F" w14:textId="77777777" w:rsidR="00B619B9" w:rsidRPr="00C10B70" w:rsidRDefault="00B619B9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6600"/>
                                    <w:sz w:val="32"/>
                                    <w:szCs w:val="32"/>
                                  </w:rPr>
                                </w:pPr>
                                <w:r w:rsidRPr="00C10B70">
                                  <w:rPr>
                                    <w:b/>
                                    <w:bCs/>
                                    <w:color w:val="006600"/>
                                    <w:sz w:val="32"/>
                                    <w:szCs w:val="32"/>
                                  </w:rPr>
                                  <w:t>REPUBLIKA HRVATSKA</w:t>
                                </w:r>
                              </w:p>
                            </w:sdtContent>
                          </w:sdt>
                          <w:p w14:paraId="25E95792" w14:textId="77777777" w:rsidR="00B619B9" w:rsidRPr="00C10B70" w:rsidRDefault="00B619B9">
                            <w:pPr>
                              <w:spacing w:after="0"/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C10B70"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BJELOVARSKO-BILOGORSKA ŽUPANIJA</w:t>
                            </w:r>
                          </w:p>
                          <w:p w14:paraId="03D14F83" w14:textId="77777777" w:rsidR="00B619B9" w:rsidRPr="00C10B70" w:rsidRDefault="00B619B9">
                            <w:pPr>
                              <w:spacing w:after="0"/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C10B70"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 xml:space="preserve">OPĆINA </w:t>
                            </w:r>
                            <w:r>
                              <w:rPr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SIRAČ</w:t>
                            </w:r>
                          </w:p>
                          <w:p w14:paraId="0FE41568" w14:textId="77777777" w:rsidR="00B619B9" w:rsidRDefault="00B619B9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39" style="position:absolute;left:1617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Naslov"/>
                              <w:id w:val="197208137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30780FC3" w14:textId="50976B7B" w:rsidR="00B619B9" w:rsidRDefault="006262F1" w:rsidP="00491F9F">
                                <w:pPr>
                                  <w:spacing w:after="0" w:line="240" w:lineRule="auto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 xml:space="preserve">IZVJEŠĆE O PROVEDBI </w:t>
                                </w:r>
                                <w:r w:rsidR="00B619B9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GODIŠNJ</w:t>
                                </w: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EG</w:t>
                                </w:r>
                                <w:r w:rsidR="00B619B9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 xml:space="preserve"> PLAN</w:t>
                                </w: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A</w:t>
                                </w:r>
                                <w:r w:rsidR="00B619B9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 xml:space="preserve"> UPRAVLJANJA IMOVINOM OPĆINE SIRAČ ZA 202</w:t>
                                </w:r>
                                <w:r w:rsidR="00D947AC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5</w:t>
                                </w:r>
                                <w:r w:rsidR="00B619B9"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. GODINU</w:t>
                                </w:r>
                              </w:p>
                            </w:sdtContent>
                          </w:sdt>
                          <w:p w14:paraId="09017007" w14:textId="0051C05C" w:rsidR="00B619B9" w:rsidRPr="00C10B70" w:rsidRDefault="00B619B9">
                            <w:pPr>
                              <w:rPr>
                                <w:b/>
                                <w:bCs/>
                                <w:color w:val="92D050"/>
                                <w:sz w:val="40"/>
                                <w:szCs w:val="40"/>
                              </w:rPr>
                            </w:pPr>
                          </w:p>
                          <w:p w14:paraId="17337B43" w14:textId="77777777" w:rsidR="00B619B9" w:rsidRDefault="00B619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C10B70">
            <w:rPr>
              <w:rFonts w:ascii="Arial" w:hAnsi="Arial" w:cs="Arial"/>
              <w:noProof/>
              <w:color w:val="26A22C"/>
              <w:sz w:val="24"/>
              <w:szCs w:val="24"/>
              <w:lang w:eastAsia="hr-HR"/>
            </w:rPr>
            <w:drawing>
              <wp:inline distT="0" distB="0" distL="0" distR="0" wp14:anchorId="18DFBFD3" wp14:editId="5ACEC7A2">
                <wp:extent cx="1609950" cy="2034232"/>
                <wp:effectExtent l="19050" t="0" r="930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nčanica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50" cy="203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10B70"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38070106"/>
        <w:docPartObj>
          <w:docPartGallery w:val="Table of Contents"/>
          <w:docPartUnique/>
        </w:docPartObj>
      </w:sdtPr>
      <w:sdtContent>
        <w:p w14:paraId="3E036F4D" w14:textId="77777777" w:rsidR="00E62D55" w:rsidRPr="003F71EE" w:rsidRDefault="00FD4D2F">
          <w:pPr>
            <w:pStyle w:val="TOCNaslov"/>
            <w:rPr>
              <w:rFonts w:ascii="Arial" w:hAnsi="Arial" w:cs="Arial"/>
              <w:color w:val="auto"/>
            </w:rPr>
          </w:pPr>
          <w:r w:rsidRPr="003F71EE">
            <w:rPr>
              <w:rFonts w:ascii="Arial" w:hAnsi="Arial" w:cs="Arial"/>
              <w:color w:val="auto"/>
            </w:rPr>
            <w:t>SADRŽAJ</w:t>
          </w:r>
        </w:p>
        <w:p w14:paraId="56434B72" w14:textId="17BFB173" w:rsidR="00203029" w:rsidRPr="003F71EE" w:rsidRDefault="000A625C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r w:rsidRPr="003F71EE">
            <w:rPr>
              <w:rFonts w:ascii="Arial" w:hAnsi="Arial" w:cs="Arial"/>
            </w:rPr>
            <w:fldChar w:fldCharType="begin"/>
          </w:r>
          <w:r w:rsidR="00E62D55" w:rsidRPr="003F71EE">
            <w:rPr>
              <w:rFonts w:ascii="Arial" w:hAnsi="Arial" w:cs="Arial"/>
            </w:rPr>
            <w:instrText xml:space="preserve"> TOC \o "1-3" \h \z \u </w:instrText>
          </w:r>
          <w:r w:rsidRPr="003F71EE">
            <w:rPr>
              <w:rFonts w:ascii="Arial" w:hAnsi="Arial" w:cs="Arial"/>
            </w:rPr>
            <w:fldChar w:fldCharType="separate"/>
          </w:r>
          <w:hyperlink w:anchor="_Toc150347714" w:history="1">
            <w:r w:rsidR="00203029" w:rsidRPr="003F71EE">
              <w:rPr>
                <w:rStyle w:val="Hiperveza"/>
                <w:rFonts w:ascii="Arial" w:hAnsi="Arial" w:cs="Arial"/>
                <w:noProof/>
                <w:color w:val="auto"/>
              </w:rPr>
              <w:t>1.</w:t>
            </w:r>
            <w:r w:rsidR="00203029"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203029" w:rsidRPr="003F71EE">
              <w:rPr>
                <w:rStyle w:val="Hiperveza"/>
                <w:rFonts w:ascii="Arial" w:hAnsi="Arial" w:cs="Arial"/>
                <w:noProof/>
                <w:color w:val="auto"/>
              </w:rPr>
              <w:t>UVOD</w:t>
            </w:r>
            <w:r w:rsidR="00203029" w:rsidRPr="003F71EE">
              <w:rPr>
                <w:noProof/>
                <w:webHidden/>
              </w:rPr>
              <w:tab/>
            </w:r>
            <w:r w:rsidR="00203029" w:rsidRPr="003F71EE">
              <w:rPr>
                <w:noProof/>
                <w:webHidden/>
              </w:rPr>
              <w:fldChar w:fldCharType="begin"/>
            </w:r>
            <w:r w:rsidR="00203029" w:rsidRPr="003F71EE">
              <w:rPr>
                <w:noProof/>
                <w:webHidden/>
              </w:rPr>
              <w:instrText xml:space="preserve"> PAGEREF _Toc150347714 \h </w:instrText>
            </w:r>
            <w:r w:rsidR="00203029" w:rsidRPr="003F71EE">
              <w:rPr>
                <w:noProof/>
                <w:webHidden/>
              </w:rPr>
            </w:r>
            <w:r w:rsidR="00203029"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3</w:t>
            </w:r>
            <w:r w:rsidR="00203029" w:rsidRPr="003F71EE">
              <w:rPr>
                <w:noProof/>
                <w:webHidden/>
              </w:rPr>
              <w:fldChar w:fldCharType="end"/>
            </w:r>
          </w:hyperlink>
        </w:p>
        <w:p w14:paraId="6EB230F3" w14:textId="2EF155C0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15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2.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UPRAVLJANJA TRGOVAČKIM DRUŠTVIMA I USTANOVAMA U (SU)VLASNIŠTVU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_Toc150347715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5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450CC0A1" w14:textId="178684A3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16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3.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UPRAVLJANJA IMOVINOM U ODNOSU NA POTRAŽIVANJA, OBVEZE, SUDSKE I DRUGE SPOROVE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_Toc150347716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6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1546BF20" w14:textId="3EA399E7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17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4.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UPRAVLJANJA I RASPOLAGANJA STANOVIMA I POSLOVNIM PROSTORIMA U VLASNIŠTVU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_Toc150347717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7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561EF1E9" w14:textId="2606EE4E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18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5.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UPRAVLJANJA I RASPOLAGANJA GRAĐEVINSKIM ZEMLJIŠTEM U VLASNIŠTVU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_Toc150347718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8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7C3355D3" w14:textId="1DD24760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19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6.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RJEŠAVANJA IMOVINSKO-PRAVNIH I DRUGIH ODNOSA VEZANIH UZ PROJEKTE OBNOVLJIVIH IZVORA ENERGIJE TE OSTALIH INFRASTRUKTURNIH PROJEKATA, KAO I EKSPLOATACIJU MINERALNIH SIROVINA SUKLADNO PROPISIMA KOJI UREĐUJU TA PODRUČJA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_Toc150347719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10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58708C37" w14:textId="1A8C0D70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20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7.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PROVOĐENJA POSTUPAKA PROCJENE IMOVINE U VLASNIŠTVU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_Toc150347720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11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70C010E4" w14:textId="49D0EF1D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21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8.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RJEŠAVANJA IMOVINSKO-PRAVNIH ODNOSA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_Toc150347721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12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1354DEC9" w14:textId="04DA7ED3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22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9.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PROVEDBE PROJEKATA JAVNO-PRIVATNOG PARTNERSTVA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_Toc150347722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13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39F3847C" w14:textId="314060C3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23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10.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VOĐENJA EVIDENCIJE IMOVINE OPĆINE SIRAČ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_Toc150347723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14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4E2E5D1E" w14:textId="087BA66C" w:rsidR="00203029" w:rsidRPr="003F71EE" w:rsidRDefault="00203029" w:rsidP="00203029">
          <w:pPr>
            <w:pStyle w:val="Sadraj1"/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0347724" w:history="1"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11.</w:t>
            </w:r>
            <w:r w:rsidRPr="003F71EE">
              <w:rPr>
                <w:rFonts w:eastAsiaTheme="minorEastAsia"/>
                <w:noProof/>
                <w:kern w:val="2"/>
                <w:lang w:eastAsia="hr-HR"/>
                <w14:ligatures w14:val="standardContextual"/>
              </w:rPr>
              <w:tab/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IZVJEŠĆE O PROVEDBI 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>ODIŠNJ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EG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PLAN</w:t>
            </w:r>
            <w:r w:rsidR="00C577B0">
              <w:rPr>
                <w:rStyle w:val="Hiperveza"/>
                <w:rFonts w:ascii="Arial" w:hAnsi="Arial" w:cs="Arial"/>
                <w:noProof/>
                <w:color w:val="auto"/>
              </w:rPr>
              <w:t>A</w:t>
            </w:r>
            <w:r w:rsidRPr="003F71EE">
              <w:rPr>
                <w:rStyle w:val="Hiperveza"/>
                <w:rFonts w:ascii="Arial" w:hAnsi="Arial" w:cs="Arial"/>
                <w:noProof/>
                <w:color w:val="auto"/>
              </w:rPr>
              <w:t xml:space="preserve"> POSTUPAKA VEZANIH UZ SAVJETOVANJE SA ZAINTERESIRANOM JAVNOŠĆU I PRAVO NA PRISTUP INFORMACIJAMA KOJE SE TIČU UPRAVLJANJA I RASPOLAGANJA IMOVINOM U VLASNIŠTVU OPĆINE SIRAČ</w:t>
            </w:r>
            <w:r w:rsidR="007D2744" w:rsidRPr="003F71EE">
              <w:rPr>
                <w:rStyle w:val="Hiperveza"/>
                <w:rFonts w:ascii="Arial" w:hAnsi="Arial" w:cs="Arial"/>
                <w:noProof/>
                <w:color w:val="auto"/>
              </w:rPr>
              <w:t>…….</w:t>
            </w:r>
            <w:r w:rsidRPr="003F71EE">
              <w:rPr>
                <w:noProof/>
                <w:webHidden/>
              </w:rPr>
              <w:tab/>
            </w:r>
            <w:r w:rsidRPr="003F71EE">
              <w:rPr>
                <w:noProof/>
                <w:webHidden/>
              </w:rPr>
              <w:fldChar w:fldCharType="begin"/>
            </w:r>
            <w:r w:rsidRPr="003F71EE">
              <w:rPr>
                <w:noProof/>
                <w:webHidden/>
              </w:rPr>
              <w:instrText xml:space="preserve"> PAGEREF _Toc150347724 \h </w:instrText>
            </w:r>
            <w:r w:rsidRPr="003F71EE">
              <w:rPr>
                <w:noProof/>
                <w:webHidden/>
              </w:rPr>
            </w:r>
            <w:r w:rsidRPr="003F71EE">
              <w:rPr>
                <w:noProof/>
                <w:webHidden/>
              </w:rPr>
              <w:fldChar w:fldCharType="separate"/>
            </w:r>
            <w:r w:rsidR="000B6723">
              <w:rPr>
                <w:noProof/>
                <w:webHidden/>
              </w:rPr>
              <w:t>15</w:t>
            </w:r>
            <w:r w:rsidRPr="003F71EE">
              <w:rPr>
                <w:noProof/>
                <w:webHidden/>
              </w:rPr>
              <w:fldChar w:fldCharType="end"/>
            </w:r>
          </w:hyperlink>
        </w:p>
        <w:p w14:paraId="7D05E697" w14:textId="63B71A18" w:rsidR="00E62D55" w:rsidRDefault="000A625C" w:rsidP="00203029">
          <w:pPr>
            <w:pStyle w:val="Sadraj1"/>
          </w:pPr>
          <w:r w:rsidRPr="003F71E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66C179A" w14:textId="77777777" w:rsidR="007765ED" w:rsidRDefault="007765ED" w:rsidP="00FC63D9">
      <w:pPr>
        <w:spacing w:after="0"/>
        <w:rPr>
          <w:rFonts w:ascii="Arial" w:eastAsiaTheme="majorEastAsia" w:hAnsi="Arial" w:cs="Arial"/>
          <w:b/>
          <w:bCs/>
          <w:sz w:val="28"/>
          <w:szCs w:val="28"/>
          <w:lang w:eastAsia="hr-HR"/>
        </w:rPr>
      </w:pPr>
    </w:p>
    <w:p w14:paraId="5BD26CC0" w14:textId="77777777" w:rsidR="00491F9F" w:rsidRPr="00474687" w:rsidRDefault="00491F9F" w:rsidP="00845B44">
      <w:pPr>
        <w:rPr>
          <w:rFonts w:ascii="Arial" w:eastAsiaTheme="majorEastAsia" w:hAnsi="Arial" w:cs="Arial"/>
          <w:b/>
          <w:bCs/>
          <w:color w:val="FF0000"/>
          <w:sz w:val="28"/>
          <w:szCs w:val="28"/>
          <w:lang w:eastAsia="hr-HR"/>
        </w:rPr>
        <w:sectPr w:rsidR="00491F9F" w:rsidRPr="00474687" w:rsidSect="00DC305E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6E0C23" w14:textId="77777777" w:rsidR="00892CAF" w:rsidRPr="009A192C" w:rsidRDefault="000B16A6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0" w:name="_Toc150347714"/>
      <w:r w:rsidRPr="009A192C">
        <w:rPr>
          <w:rFonts w:ascii="Arial" w:hAnsi="Arial" w:cs="Arial"/>
          <w:color w:val="auto"/>
        </w:rPr>
        <w:lastRenderedPageBreak/>
        <w:t>UVOD</w:t>
      </w:r>
      <w:bookmarkEnd w:id="0"/>
    </w:p>
    <w:p w14:paraId="3BD498AC" w14:textId="77777777" w:rsidR="00B94CD6" w:rsidRPr="00C577B0" w:rsidRDefault="00DC7E03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</w:pPr>
      <w:hyperlink r:id="rId12" w:history="1">
        <w:r w:rsidRPr="00C577B0">
          <w:rPr>
            <w:rStyle w:val="Hiperveza"/>
            <w:rFonts w:ascii="Arial" w:hAnsi="Arial" w:cs="Arial"/>
            <w:color w:val="auto"/>
            <w:u w:val="none"/>
          </w:rPr>
          <w:t xml:space="preserve">Zakonom o upravljanju državnom imovinom </w:t>
        </w:r>
        <w:r w:rsidR="00F12990" w:rsidRPr="00C577B0">
          <w:rPr>
            <w:rStyle w:val="Hiperveza"/>
            <w:rFonts w:ascii="Arial" w:hAnsi="Arial" w:cs="Arial"/>
            <w:color w:val="auto"/>
            <w:u w:val="none"/>
          </w:rPr>
          <w:t>(»Narodne novine«</w:t>
        </w:r>
        <w:r w:rsidR="00FD067F" w:rsidRPr="00C577B0">
          <w:rPr>
            <w:rStyle w:val="Hiperveza"/>
            <w:rFonts w:ascii="Arial" w:hAnsi="Arial" w:cs="Arial"/>
            <w:color w:val="auto"/>
            <w:u w:val="none"/>
          </w:rPr>
          <w:t>,</w:t>
        </w:r>
        <w:r w:rsidR="002F2429" w:rsidRPr="00C577B0">
          <w:rPr>
            <w:rStyle w:val="Hiperveza"/>
            <w:rFonts w:ascii="Arial" w:hAnsi="Arial" w:cs="Arial"/>
            <w:color w:val="auto"/>
            <w:u w:val="none"/>
          </w:rPr>
          <w:t xml:space="preserve"> </w:t>
        </w:r>
        <w:r w:rsidRPr="00C577B0">
          <w:rPr>
            <w:rStyle w:val="Hiperveza"/>
            <w:rFonts w:ascii="Arial" w:hAnsi="Arial" w:cs="Arial"/>
            <w:color w:val="auto"/>
            <w:u w:val="none"/>
          </w:rPr>
          <w:t xml:space="preserve">broj </w:t>
        </w:r>
        <w:r w:rsidR="005B6964" w:rsidRPr="00C577B0">
          <w:rPr>
            <w:rStyle w:val="Hiperveza"/>
            <w:rFonts w:ascii="Arial" w:hAnsi="Arial" w:cs="Arial"/>
            <w:color w:val="auto"/>
            <w:u w:val="none"/>
          </w:rPr>
          <w:t>52/</w:t>
        </w:r>
        <w:r w:rsidRPr="00C577B0">
          <w:rPr>
            <w:rStyle w:val="Hiperveza"/>
            <w:rFonts w:ascii="Arial" w:hAnsi="Arial" w:cs="Arial"/>
            <w:color w:val="auto"/>
            <w:u w:val="none"/>
          </w:rPr>
          <w:t>18</w:t>
        </w:r>
      </w:hyperlink>
      <w:r w:rsidRPr="00C577B0">
        <w:rPr>
          <w:rFonts w:ascii="Arial" w:hAnsi="Arial" w:cs="Arial"/>
          <w:color w:val="231F20"/>
        </w:rPr>
        <w:t xml:space="preserve">) normirani su ključni i međusobno povezani dokumenti upravljanja državnom imovinom: Strategija upravljanja državnom imovinom, Godišnji plan upravljanja državnom imovinom i Izvješće o provedbi Godišnjeg plana upravljanja državnom imovinom. </w:t>
      </w:r>
    </w:p>
    <w:p w14:paraId="49CB167F" w14:textId="5F9F2704" w:rsidR="006262F1" w:rsidRPr="00C577B0" w:rsidRDefault="006262F1" w:rsidP="007F2973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</w:rPr>
      </w:pPr>
      <w:r w:rsidRPr="00C577B0">
        <w:rPr>
          <w:rFonts w:ascii="Arial" w:hAnsi="Arial" w:cs="Arial"/>
        </w:rPr>
        <w:t>Općina Sirač je izradila</w:t>
      </w:r>
      <w:r w:rsidR="00C577B0">
        <w:rPr>
          <w:rFonts w:ascii="Arial" w:hAnsi="Arial" w:cs="Arial"/>
        </w:rPr>
        <w:t xml:space="preserve">, usvojila </w:t>
      </w:r>
      <w:r w:rsidRPr="00C577B0">
        <w:rPr>
          <w:rFonts w:ascii="Arial" w:hAnsi="Arial" w:cs="Arial"/>
        </w:rPr>
        <w:t>i javno objavila Strategiju upravljanja imovinom u vlasništvu Općine Sirač za razdoblje od 2020. do 2027. godine koja je objavljena u Županijskom glasniku Bjelovarsko-bilogorske županije broj</w:t>
      </w:r>
      <w:r w:rsidR="00C577B0">
        <w:rPr>
          <w:rFonts w:ascii="Arial" w:hAnsi="Arial" w:cs="Arial"/>
        </w:rPr>
        <w:t xml:space="preserve"> 3/20</w:t>
      </w:r>
      <w:r w:rsidRPr="00C577B0">
        <w:rPr>
          <w:rFonts w:ascii="Arial" w:hAnsi="Arial" w:cs="Arial"/>
        </w:rPr>
        <w:t>.</w:t>
      </w:r>
    </w:p>
    <w:p w14:paraId="74536FB4" w14:textId="77777777" w:rsidR="006262F1" w:rsidRPr="00C577B0" w:rsidRDefault="006262F1" w:rsidP="006262F1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577B0">
        <w:rPr>
          <w:rFonts w:ascii="Arial" w:hAnsi="Arial" w:cs="Arial"/>
          <w:sz w:val="24"/>
          <w:szCs w:val="24"/>
        </w:rPr>
        <w:t xml:space="preserve">Strategijom upravljanja imovinom </w:t>
      </w:r>
      <w:r w:rsidRPr="00C577B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određeni su dugoročni ciljevi i smjernice upravljanja imovinom, uzimajući u obzir gospodarske i razvojne interese Općine Sirač i Republike Hrvatske. </w:t>
      </w:r>
    </w:p>
    <w:p w14:paraId="3FF145C6" w14:textId="77777777" w:rsidR="006262F1" w:rsidRPr="00C577B0" w:rsidRDefault="006262F1" w:rsidP="006262F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577B0">
        <w:rPr>
          <w:rFonts w:ascii="Arial" w:eastAsia="Times New Roman" w:hAnsi="Arial" w:cs="Arial"/>
          <w:sz w:val="24"/>
          <w:szCs w:val="24"/>
          <w:lang w:eastAsia="hr-HR"/>
        </w:rPr>
        <w:t xml:space="preserve">Ključni cilj Strategije je efikasno upravljati svim pojavnim oblicima imovine u vlasništvu </w:t>
      </w:r>
      <w:r w:rsidRPr="00C577B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Općine Sirač</w:t>
      </w:r>
      <w:r w:rsidRPr="00C577B0">
        <w:rPr>
          <w:rFonts w:ascii="Arial" w:eastAsia="Times New Roman" w:hAnsi="Arial" w:cs="Arial"/>
          <w:sz w:val="24"/>
          <w:szCs w:val="24"/>
          <w:lang w:eastAsia="hr-HR"/>
        </w:rPr>
        <w:t xml:space="preserve"> prema načelu učinkovitosti dobroga gospodara. </w:t>
      </w:r>
    </w:p>
    <w:p w14:paraId="260EA0A9" w14:textId="77777777" w:rsidR="006262F1" w:rsidRPr="00C577B0" w:rsidRDefault="006262F1" w:rsidP="006262F1">
      <w:pPr>
        <w:spacing w:after="0" w:line="240" w:lineRule="auto"/>
        <w:ind w:right="-142" w:firstLine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577B0">
        <w:rPr>
          <w:rFonts w:ascii="Arial" w:eastAsia="Times New Roman" w:hAnsi="Arial" w:cs="Arial"/>
          <w:sz w:val="24"/>
          <w:szCs w:val="24"/>
          <w:lang w:eastAsia="hr-HR"/>
        </w:rPr>
        <w:t xml:space="preserve">Cilj Strategije je i postizanje gospodarskih, infrastrukturnih i drugih strateških razvojnih ciljeva i zaštite općinskih interesa, sa svrhom očuvanja imovine i njene važnosti za život i rad postojećih i budućih naraštaja. </w:t>
      </w:r>
    </w:p>
    <w:p w14:paraId="4D4BCEA1" w14:textId="77777777" w:rsidR="006262F1" w:rsidRPr="00C577B0" w:rsidRDefault="006262F1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</w:rPr>
      </w:pPr>
    </w:p>
    <w:p w14:paraId="56376883" w14:textId="5C842326" w:rsidR="00D956CF" w:rsidRPr="00C577B0" w:rsidRDefault="00DA7C9B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C577B0">
        <w:rPr>
          <w:rFonts w:ascii="Arial" w:hAnsi="Arial" w:cs="Arial"/>
        </w:rPr>
        <w:t>Godišnji plan upravljanja imovinom</w:t>
      </w:r>
      <w:r w:rsidR="00F35702" w:rsidRPr="00C577B0">
        <w:rPr>
          <w:rFonts w:ascii="Arial" w:hAnsi="Arial" w:cs="Arial"/>
        </w:rPr>
        <w:t xml:space="preserve"> </w:t>
      </w:r>
      <w:r w:rsidR="00E95F33" w:rsidRPr="00C577B0">
        <w:rPr>
          <w:rFonts w:ascii="Arial" w:hAnsi="Arial" w:cs="Arial"/>
        </w:rPr>
        <w:t xml:space="preserve">donosi </w:t>
      </w:r>
      <w:r w:rsidR="00F35702" w:rsidRPr="00C577B0">
        <w:rPr>
          <w:rFonts w:ascii="Arial" w:hAnsi="Arial" w:cs="Arial"/>
        </w:rPr>
        <w:t xml:space="preserve">Općinsko vijeće Općine </w:t>
      </w:r>
      <w:r w:rsidR="00F46483" w:rsidRPr="00C577B0">
        <w:rPr>
          <w:rFonts w:ascii="Arial" w:hAnsi="Arial" w:cs="Arial"/>
        </w:rPr>
        <w:t>Sirač</w:t>
      </w:r>
      <w:r w:rsidR="00E95F33" w:rsidRPr="00C577B0">
        <w:rPr>
          <w:rFonts w:ascii="Arial" w:hAnsi="Arial" w:cs="Arial"/>
        </w:rPr>
        <w:t xml:space="preserve"> na temelju Strategije</w:t>
      </w:r>
      <w:r w:rsidR="00F35702" w:rsidRPr="00C577B0">
        <w:rPr>
          <w:rFonts w:ascii="Arial" w:hAnsi="Arial" w:cs="Arial"/>
        </w:rPr>
        <w:t xml:space="preserve"> upravljanja imovinom u vlasništvu Općine </w:t>
      </w:r>
      <w:r w:rsidR="00F46483" w:rsidRPr="00C577B0">
        <w:rPr>
          <w:rFonts w:ascii="Arial" w:hAnsi="Arial" w:cs="Arial"/>
        </w:rPr>
        <w:t>Sirač</w:t>
      </w:r>
      <w:r w:rsidR="00F35702" w:rsidRPr="00C577B0">
        <w:rPr>
          <w:rFonts w:ascii="Arial" w:hAnsi="Arial" w:cs="Arial"/>
        </w:rPr>
        <w:t xml:space="preserve"> za razdoblje od 20</w:t>
      </w:r>
      <w:r w:rsidR="00F61E63" w:rsidRPr="00C577B0">
        <w:rPr>
          <w:rFonts w:ascii="Arial" w:hAnsi="Arial" w:cs="Arial"/>
        </w:rPr>
        <w:t>20</w:t>
      </w:r>
      <w:r w:rsidR="00F35702" w:rsidRPr="00C577B0">
        <w:rPr>
          <w:rFonts w:ascii="Arial" w:hAnsi="Arial" w:cs="Arial"/>
        </w:rPr>
        <w:t>. do 202</w:t>
      </w:r>
      <w:r w:rsidR="00F61E63" w:rsidRPr="00C577B0">
        <w:rPr>
          <w:rFonts w:ascii="Arial" w:hAnsi="Arial" w:cs="Arial"/>
        </w:rPr>
        <w:t>7</w:t>
      </w:r>
      <w:r w:rsidR="00F35702" w:rsidRPr="00C577B0">
        <w:rPr>
          <w:rFonts w:ascii="Arial" w:hAnsi="Arial" w:cs="Arial"/>
        </w:rPr>
        <w:t>. godine</w:t>
      </w:r>
      <w:r w:rsidR="00C577B0">
        <w:rPr>
          <w:rFonts w:ascii="Arial" w:hAnsi="Arial" w:cs="Arial"/>
        </w:rPr>
        <w:t>.</w:t>
      </w:r>
      <w:r w:rsidR="00F35702" w:rsidRPr="00C577B0">
        <w:rPr>
          <w:rFonts w:ascii="Arial" w:hAnsi="Arial" w:cs="Arial"/>
        </w:rPr>
        <w:t xml:space="preserve"> </w:t>
      </w:r>
    </w:p>
    <w:p w14:paraId="09A4DC7E" w14:textId="77777777" w:rsidR="006262F1" w:rsidRPr="00C577B0" w:rsidRDefault="007F29BF" w:rsidP="003E72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>Plan</w:t>
      </w:r>
      <w:r w:rsidR="000B16A6" w:rsidRPr="00C577B0">
        <w:rPr>
          <w:rFonts w:ascii="Arial" w:hAnsi="Arial" w:cs="Arial"/>
          <w:sz w:val="24"/>
          <w:szCs w:val="24"/>
        </w:rPr>
        <w:t xml:space="preserve"> upravljanja obuhva</w:t>
      </w:r>
      <w:r w:rsidR="004E0420" w:rsidRPr="00C577B0">
        <w:rPr>
          <w:rFonts w:ascii="Arial" w:hAnsi="Arial" w:cs="Arial"/>
          <w:sz w:val="24"/>
          <w:szCs w:val="24"/>
        </w:rPr>
        <w:t>ć</w:t>
      </w:r>
      <w:r w:rsidR="000B16A6" w:rsidRPr="00C577B0">
        <w:rPr>
          <w:rFonts w:ascii="Arial" w:hAnsi="Arial" w:cs="Arial"/>
          <w:sz w:val="24"/>
          <w:szCs w:val="24"/>
        </w:rPr>
        <w:t xml:space="preserve">a ciljeve, smjernice i provedbene mjere upravljanja pojedinim oblikom imovine u vlasništvu </w:t>
      </w:r>
      <w:r w:rsidRPr="00C577B0">
        <w:rPr>
          <w:rFonts w:ascii="Arial" w:hAnsi="Arial" w:cs="Arial"/>
          <w:sz w:val="24"/>
          <w:szCs w:val="24"/>
        </w:rPr>
        <w:t xml:space="preserve">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0B16A6" w:rsidRPr="00C577B0">
        <w:rPr>
          <w:rFonts w:ascii="Arial" w:hAnsi="Arial" w:cs="Arial"/>
          <w:sz w:val="24"/>
          <w:szCs w:val="24"/>
        </w:rPr>
        <w:t xml:space="preserve"> u svrhu provođenja Strategije</w:t>
      </w:r>
      <w:r w:rsidRPr="00C577B0">
        <w:rPr>
          <w:rFonts w:ascii="Arial" w:hAnsi="Arial" w:cs="Arial"/>
          <w:sz w:val="24"/>
          <w:szCs w:val="24"/>
        </w:rPr>
        <w:t xml:space="preserve">. </w:t>
      </w:r>
    </w:p>
    <w:p w14:paraId="7D71488E" w14:textId="395CD101" w:rsidR="006262F1" w:rsidRPr="00C577B0" w:rsidRDefault="00C577B0" w:rsidP="003E72F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p</w:t>
      </w:r>
      <w:r w:rsidR="006262F1" w:rsidRPr="00C577B0">
        <w:rPr>
          <w:rFonts w:ascii="Arial" w:hAnsi="Arial" w:cs="Arial"/>
          <w:sz w:val="24"/>
          <w:szCs w:val="24"/>
        </w:rPr>
        <w:t xml:space="preserve">lan upravljanja imovinom </w:t>
      </w:r>
      <w:r>
        <w:rPr>
          <w:rFonts w:ascii="Arial" w:hAnsi="Arial" w:cs="Arial"/>
          <w:sz w:val="24"/>
          <w:szCs w:val="24"/>
        </w:rPr>
        <w:t xml:space="preserve">Općine Sirač </w:t>
      </w:r>
      <w:r w:rsidR="006262F1" w:rsidRPr="00C577B0">
        <w:rPr>
          <w:rFonts w:ascii="Arial" w:hAnsi="Arial" w:cs="Arial"/>
          <w:sz w:val="24"/>
          <w:szCs w:val="24"/>
        </w:rPr>
        <w:t>za 202</w:t>
      </w:r>
      <w:r w:rsidR="004139AB">
        <w:rPr>
          <w:rFonts w:ascii="Arial" w:hAnsi="Arial" w:cs="Arial"/>
          <w:sz w:val="24"/>
          <w:szCs w:val="24"/>
        </w:rPr>
        <w:t>5</w:t>
      </w:r>
      <w:r w:rsidR="006262F1" w:rsidRPr="00C577B0">
        <w:rPr>
          <w:rFonts w:ascii="Arial" w:hAnsi="Arial" w:cs="Arial"/>
          <w:sz w:val="24"/>
          <w:szCs w:val="24"/>
        </w:rPr>
        <w:t xml:space="preserve">. godinu donesen je na </w:t>
      </w:r>
      <w:r w:rsidR="004139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0.</w:t>
      </w:r>
      <w:r w:rsidR="006262F1" w:rsidRPr="00C577B0">
        <w:rPr>
          <w:rFonts w:ascii="Arial" w:hAnsi="Arial" w:cs="Arial"/>
          <w:sz w:val="24"/>
          <w:szCs w:val="24"/>
        </w:rPr>
        <w:t xml:space="preserve"> sjednici Općinskog vijeća i objavljen je u Županijskom glasniku Bjelovarsko-</w:t>
      </w:r>
      <w:proofErr w:type="spellStart"/>
      <w:r w:rsidR="006262F1" w:rsidRPr="00C577B0">
        <w:rPr>
          <w:rFonts w:ascii="Arial" w:hAnsi="Arial" w:cs="Arial"/>
          <w:sz w:val="24"/>
          <w:szCs w:val="24"/>
        </w:rPr>
        <w:t>bilgorske</w:t>
      </w:r>
      <w:proofErr w:type="spellEnd"/>
      <w:r w:rsidR="006262F1" w:rsidRPr="00C577B0">
        <w:rPr>
          <w:rFonts w:ascii="Arial" w:hAnsi="Arial" w:cs="Arial"/>
          <w:sz w:val="24"/>
          <w:szCs w:val="24"/>
        </w:rPr>
        <w:t xml:space="preserve"> županije broj</w:t>
      </w:r>
      <w:r>
        <w:rPr>
          <w:rFonts w:ascii="Arial" w:hAnsi="Arial" w:cs="Arial"/>
          <w:sz w:val="24"/>
          <w:szCs w:val="24"/>
        </w:rPr>
        <w:t xml:space="preserve"> 1</w:t>
      </w:r>
      <w:r w:rsidR="004139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</w:t>
      </w:r>
      <w:r w:rsidR="004139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6B16021" w14:textId="7DF9757B" w:rsidR="001620F2" w:rsidRPr="00C577B0" w:rsidRDefault="001620F2" w:rsidP="003E72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Plan upravljanja </w:t>
      </w:r>
      <w:r w:rsidR="000B16A6" w:rsidRPr="00C577B0">
        <w:rPr>
          <w:rFonts w:ascii="Arial" w:hAnsi="Arial" w:cs="Arial"/>
          <w:sz w:val="24"/>
          <w:szCs w:val="24"/>
        </w:rPr>
        <w:t>sadržava</w:t>
      </w:r>
      <w:r w:rsidRPr="00C577B0">
        <w:rPr>
          <w:rFonts w:ascii="Arial" w:hAnsi="Arial" w:cs="Arial"/>
          <w:sz w:val="24"/>
          <w:szCs w:val="24"/>
        </w:rPr>
        <w:t xml:space="preserve"> detaljnu analizu stanja upravljanja pojedinim oblicima imovine u 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D956CF" w:rsidRPr="00C577B0">
        <w:rPr>
          <w:rFonts w:ascii="Arial" w:hAnsi="Arial" w:cs="Arial"/>
          <w:sz w:val="24"/>
          <w:szCs w:val="24"/>
        </w:rPr>
        <w:t xml:space="preserve"> kao</w:t>
      </w:r>
      <w:r w:rsidRPr="00C577B0">
        <w:rPr>
          <w:rFonts w:ascii="Arial" w:hAnsi="Arial" w:cs="Arial"/>
          <w:sz w:val="24"/>
          <w:szCs w:val="24"/>
        </w:rPr>
        <w:t xml:space="preserve"> i godišnje planove upravljanja pojedinim oblicima imovine u 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Pr="00C577B0">
        <w:rPr>
          <w:rFonts w:ascii="Arial" w:hAnsi="Arial" w:cs="Arial"/>
          <w:sz w:val="24"/>
          <w:szCs w:val="24"/>
        </w:rPr>
        <w:t>, i to:</w:t>
      </w:r>
    </w:p>
    <w:p w14:paraId="7DC19319" w14:textId="77777777" w:rsidR="009D7AB7" w:rsidRPr="00C577B0" w:rsidRDefault="009D7AB7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upravljanja trgovačkim društvima i ustanovama u </w:t>
      </w:r>
      <w:r w:rsidR="00E62D55" w:rsidRPr="00C577B0">
        <w:rPr>
          <w:rFonts w:ascii="Arial" w:hAnsi="Arial" w:cs="Arial"/>
          <w:sz w:val="24"/>
          <w:szCs w:val="24"/>
        </w:rPr>
        <w:t xml:space="preserve">(su)vlasništvu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0635205E" w14:textId="77777777" w:rsidR="000C0D52" w:rsidRPr="00C577B0" w:rsidRDefault="000C0D52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upravljanja imovinom u odnosu na potraživanja, obveze, sudske i druge sporove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3F277A69" w14:textId="77777777" w:rsidR="009D7AB7" w:rsidRPr="00C577B0" w:rsidRDefault="000C0D52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upravljanja i raspolaganja stanovima i poslovnim prostorima u 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688FD3D3" w14:textId="77777777" w:rsidR="009D7AB7" w:rsidRPr="00C577B0" w:rsidRDefault="000C0D52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upravljanja i raspolaganja građevinskim zemljištem u 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70BE4301" w14:textId="77777777" w:rsidR="009D7AB7" w:rsidRPr="00C577B0" w:rsidRDefault="000C0D52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lastRenderedPageBreak/>
        <w:t>Godišnji plan rješavanja imovinsko-pravnih i drugih odnosa vezanih uz projekte obnovljivih izvora energije te ostalih infrastrukturnih projekata, kao i eksploataciju mineralnih sirovina sukladno propisima koji uređuju ta područja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4E1D7925" w14:textId="77777777" w:rsidR="009D7AB7" w:rsidRPr="00C577B0" w:rsidRDefault="000C0D52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provođenja postupaka procjene imovine u vlasništvu </w:t>
      </w:r>
      <w:r w:rsidR="00C748BF" w:rsidRPr="00C577B0">
        <w:rPr>
          <w:rFonts w:ascii="Arial" w:hAnsi="Arial" w:cs="Arial"/>
          <w:sz w:val="24"/>
          <w:szCs w:val="24"/>
        </w:rPr>
        <w:t xml:space="preserve">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5BBD5CFA" w14:textId="77777777" w:rsidR="009D7AB7" w:rsidRPr="00C577B0" w:rsidRDefault="00DD28EE" w:rsidP="00A570F7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rješavanja imovinsko-pravnih </w:t>
      </w:r>
      <w:r w:rsidR="00530EE5" w:rsidRPr="00C577B0">
        <w:rPr>
          <w:rFonts w:ascii="Arial" w:hAnsi="Arial" w:cs="Arial"/>
          <w:sz w:val="24"/>
          <w:szCs w:val="24"/>
        </w:rPr>
        <w:t xml:space="preserve">odnosa </w:t>
      </w:r>
      <w:r w:rsidR="00C748BF" w:rsidRPr="00C577B0">
        <w:rPr>
          <w:rFonts w:ascii="Arial" w:hAnsi="Arial" w:cs="Arial"/>
          <w:sz w:val="24"/>
          <w:szCs w:val="24"/>
        </w:rPr>
        <w:t xml:space="preserve">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0AA4C92D" w14:textId="77777777" w:rsidR="009D7AB7" w:rsidRPr="00C577B0" w:rsidRDefault="00C748BF" w:rsidP="0005083D">
      <w:pPr>
        <w:pStyle w:val="Odlomakpopisa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provedbe projekata javno-privatnog partnerstva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6EC67B77" w14:textId="77777777" w:rsidR="009D7AB7" w:rsidRPr="00C577B0" w:rsidRDefault="00C748BF" w:rsidP="0005083D">
      <w:pPr>
        <w:pStyle w:val="Odlomakpopisa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 xml:space="preserve">Godišnji plan vođenja </w:t>
      </w:r>
      <w:r w:rsidR="00F26AE8" w:rsidRPr="00C577B0">
        <w:rPr>
          <w:rFonts w:ascii="Arial" w:hAnsi="Arial" w:cs="Arial"/>
          <w:sz w:val="24"/>
          <w:szCs w:val="24"/>
        </w:rPr>
        <w:t>Evidencije imovine</w:t>
      </w:r>
      <w:r w:rsidRPr="00C577B0">
        <w:rPr>
          <w:rFonts w:ascii="Arial" w:hAnsi="Arial" w:cs="Arial"/>
          <w:sz w:val="24"/>
          <w:szCs w:val="24"/>
        </w:rPr>
        <w:t xml:space="preserve">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,</w:t>
      </w:r>
    </w:p>
    <w:p w14:paraId="4F7B864E" w14:textId="77777777" w:rsidR="009D7AB7" w:rsidRPr="00C577B0" w:rsidRDefault="00180371" w:rsidP="0005083D">
      <w:pPr>
        <w:pStyle w:val="Odlomakpopisa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C577B0">
        <w:rPr>
          <w:rFonts w:ascii="Arial" w:hAnsi="Arial" w:cs="Arial"/>
          <w:sz w:val="24"/>
          <w:szCs w:val="24"/>
        </w:rPr>
        <w:t>G</w:t>
      </w:r>
      <w:r w:rsidR="001373AE" w:rsidRPr="00C577B0">
        <w:rPr>
          <w:rFonts w:ascii="Arial" w:hAnsi="Arial" w:cs="Arial"/>
          <w:sz w:val="24"/>
          <w:szCs w:val="24"/>
        </w:rPr>
        <w:t xml:space="preserve">odišnji plan postupaka vezanih uz savjetovanje sa zainteresiranom javnošću i pravo na pristup informacijama koje se tiču upravljanja i raspolaganja imovinom u vlasništvu Općine </w:t>
      </w:r>
      <w:r w:rsidR="00F46483" w:rsidRPr="00C577B0">
        <w:rPr>
          <w:rFonts w:ascii="Arial" w:hAnsi="Arial" w:cs="Arial"/>
          <w:sz w:val="24"/>
          <w:szCs w:val="24"/>
        </w:rPr>
        <w:t>Sirač</w:t>
      </w:r>
      <w:r w:rsidR="00E62D55" w:rsidRPr="00C577B0">
        <w:rPr>
          <w:rFonts w:ascii="Arial" w:hAnsi="Arial" w:cs="Arial"/>
          <w:sz w:val="24"/>
          <w:szCs w:val="24"/>
        </w:rPr>
        <w:t>.</w:t>
      </w:r>
    </w:p>
    <w:p w14:paraId="01A5E143" w14:textId="5CBB4CE5" w:rsidR="001C7CD4" w:rsidRPr="00C577B0" w:rsidRDefault="001C7CD4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C577B0">
        <w:rPr>
          <w:rFonts w:ascii="Arial" w:hAnsi="Arial" w:cs="Arial"/>
          <w:color w:val="231F20"/>
        </w:rPr>
        <w:t xml:space="preserve">Izvješće o provedbi Godišnjeg plana upravljanja imovinom </w:t>
      </w:r>
      <w:r w:rsidR="00C577B0">
        <w:rPr>
          <w:rFonts w:ascii="Arial" w:hAnsi="Arial" w:cs="Arial"/>
          <w:color w:val="231F20"/>
        </w:rPr>
        <w:t>Općine Sirač za 202</w:t>
      </w:r>
      <w:r w:rsidR="004139AB">
        <w:rPr>
          <w:rFonts w:ascii="Arial" w:hAnsi="Arial" w:cs="Arial"/>
          <w:color w:val="231F20"/>
        </w:rPr>
        <w:t>5</w:t>
      </w:r>
      <w:r w:rsidR="00C577B0">
        <w:rPr>
          <w:rFonts w:ascii="Arial" w:hAnsi="Arial" w:cs="Arial"/>
          <w:color w:val="231F20"/>
        </w:rPr>
        <w:t xml:space="preserve">. godinu </w:t>
      </w:r>
      <w:r w:rsidRPr="00C577B0">
        <w:rPr>
          <w:rFonts w:ascii="Arial" w:hAnsi="Arial" w:cs="Arial"/>
          <w:color w:val="231F20"/>
        </w:rPr>
        <w:t xml:space="preserve">prati strukturu svih poglavlja godišnjeg plana upravljanja imovinom u </w:t>
      </w:r>
      <w:proofErr w:type="spellStart"/>
      <w:r w:rsidRPr="00C577B0">
        <w:rPr>
          <w:rFonts w:ascii="Arial" w:hAnsi="Arial" w:cs="Arial"/>
          <w:color w:val="231F20"/>
        </w:rPr>
        <w:t>vlasništu</w:t>
      </w:r>
      <w:proofErr w:type="spellEnd"/>
      <w:r w:rsidRPr="00C577B0">
        <w:rPr>
          <w:rFonts w:ascii="Arial" w:hAnsi="Arial" w:cs="Arial"/>
          <w:color w:val="231F20"/>
        </w:rPr>
        <w:t xml:space="preserve"> Općine</w:t>
      </w:r>
      <w:r w:rsidR="00C577B0">
        <w:rPr>
          <w:rFonts w:ascii="Arial" w:hAnsi="Arial" w:cs="Arial"/>
          <w:color w:val="231F20"/>
        </w:rPr>
        <w:t xml:space="preserve">, utvrđenih </w:t>
      </w:r>
      <w:r w:rsidR="00C577B0" w:rsidRPr="00C577B0">
        <w:rPr>
          <w:rFonts w:ascii="Arial" w:hAnsi="Arial" w:cs="Arial"/>
          <w:color w:val="231F20"/>
        </w:rPr>
        <w:t>Uredbom o obveznom sadržaju Plana upravljanja imovinom u vlasništvu Republike Hrvatske (»Narodne novine«, broj 24/14)</w:t>
      </w:r>
      <w:r w:rsidRPr="00C577B0">
        <w:rPr>
          <w:rFonts w:ascii="Arial" w:hAnsi="Arial" w:cs="Arial"/>
          <w:color w:val="231F20"/>
        </w:rPr>
        <w:t>.</w:t>
      </w:r>
    </w:p>
    <w:p w14:paraId="271F8C74" w14:textId="578740E0" w:rsidR="001C7CD4" w:rsidRPr="00C577B0" w:rsidRDefault="001C7CD4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</w:pPr>
      <w:r w:rsidRPr="00C577B0">
        <w:rPr>
          <w:rFonts w:ascii="Arial" w:hAnsi="Arial" w:cs="Arial"/>
          <w:color w:val="231F20"/>
        </w:rPr>
        <w:t>Izvješće obuhvaća podatke sa stanjem na dan 31. prosinca 202</w:t>
      </w:r>
      <w:r w:rsidR="004139AB">
        <w:rPr>
          <w:rFonts w:ascii="Arial" w:hAnsi="Arial" w:cs="Arial"/>
          <w:color w:val="231F20"/>
        </w:rPr>
        <w:t>5</w:t>
      </w:r>
      <w:r w:rsidRPr="00C577B0">
        <w:rPr>
          <w:rFonts w:ascii="Arial" w:hAnsi="Arial" w:cs="Arial"/>
          <w:color w:val="231F20"/>
        </w:rPr>
        <w:t>. godine.</w:t>
      </w:r>
    </w:p>
    <w:p w14:paraId="10FE5ED7" w14:textId="2077986F" w:rsidR="00EF2230" w:rsidRDefault="001C7CD4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 </w:t>
      </w:r>
    </w:p>
    <w:p w14:paraId="09891E8C" w14:textId="77777777" w:rsidR="00EF2230" w:rsidRDefault="00EF2230" w:rsidP="003E72F7">
      <w:pPr>
        <w:pStyle w:val="box457773"/>
        <w:shd w:val="clear" w:color="auto" w:fill="FFFFFF"/>
        <w:spacing w:before="0" w:beforeAutospacing="0" w:after="200" w:afterAutospacing="0" w:line="276" w:lineRule="auto"/>
        <w:ind w:firstLine="709"/>
        <w:jc w:val="both"/>
        <w:textAlignment w:val="baseline"/>
        <w:rPr>
          <w:rFonts w:ascii="Arial" w:hAnsi="Arial" w:cs="Arial"/>
          <w:color w:val="231F20"/>
        </w:rPr>
        <w:sectPr w:rsidR="00EF2230" w:rsidSect="00DC305E"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C659C6D" w14:textId="224A4386" w:rsidR="00180371" w:rsidRDefault="001C7CD4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1" w:name="_Toc150347715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UPRAVLJANJA TRGOVAČKIM DRUŠTVIMA I USTANOVAMA U (SU)VLASNIŠTVU OPĆINE </w:t>
      </w:r>
      <w:r w:rsidR="00F46483">
        <w:rPr>
          <w:rFonts w:ascii="Arial" w:hAnsi="Arial" w:cs="Arial"/>
          <w:color w:val="auto"/>
        </w:rPr>
        <w:t>SIRAČ</w:t>
      </w:r>
      <w:bookmarkEnd w:id="1"/>
    </w:p>
    <w:p w14:paraId="112EEAF3" w14:textId="7D82E6D7" w:rsidR="00733D26" w:rsidRPr="005C3409" w:rsidRDefault="00733D26" w:rsidP="00733D26">
      <w:pPr>
        <w:jc w:val="both"/>
        <w:rPr>
          <w:rFonts w:ascii="Arial" w:hAnsi="Arial" w:cs="Arial"/>
          <w:sz w:val="24"/>
          <w:szCs w:val="24"/>
        </w:rPr>
      </w:pPr>
      <w:r w:rsidRPr="005C3409">
        <w:rPr>
          <w:rFonts w:ascii="Arial" w:hAnsi="Arial" w:cs="Arial"/>
          <w:sz w:val="24"/>
          <w:szCs w:val="24"/>
        </w:rPr>
        <w:t xml:space="preserve">Općina </w:t>
      </w:r>
      <w:r w:rsidR="00F46483">
        <w:rPr>
          <w:rFonts w:ascii="Arial" w:hAnsi="Arial" w:cs="Arial"/>
          <w:sz w:val="24"/>
          <w:szCs w:val="24"/>
        </w:rPr>
        <w:t>Sirač</w:t>
      </w:r>
      <w:r w:rsidRPr="005C3409">
        <w:rPr>
          <w:rFonts w:ascii="Arial" w:hAnsi="Arial" w:cs="Arial"/>
          <w:sz w:val="24"/>
          <w:szCs w:val="24"/>
        </w:rPr>
        <w:t xml:space="preserve"> </w:t>
      </w:r>
      <w:r w:rsidR="006C010F">
        <w:rPr>
          <w:rFonts w:ascii="Arial" w:hAnsi="Arial" w:cs="Arial"/>
          <w:sz w:val="24"/>
          <w:szCs w:val="24"/>
        </w:rPr>
        <w:t xml:space="preserve">i dalje sudjeluje u vlasničkoj strukturi </w:t>
      </w:r>
      <w:r w:rsidRPr="005C3409">
        <w:rPr>
          <w:rFonts w:ascii="Arial" w:hAnsi="Arial" w:cs="Arial"/>
          <w:sz w:val="24"/>
          <w:szCs w:val="24"/>
        </w:rPr>
        <w:t>sljedeći</w:t>
      </w:r>
      <w:r w:rsidR="006C010F">
        <w:rPr>
          <w:rFonts w:ascii="Arial" w:hAnsi="Arial" w:cs="Arial"/>
          <w:sz w:val="24"/>
          <w:szCs w:val="24"/>
        </w:rPr>
        <w:t>h</w:t>
      </w:r>
      <w:r w:rsidRPr="005C3409">
        <w:rPr>
          <w:rFonts w:ascii="Arial" w:hAnsi="Arial" w:cs="Arial"/>
          <w:sz w:val="24"/>
          <w:szCs w:val="24"/>
        </w:rPr>
        <w:t xml:space="preserve"> poduzeć</w:t>
      </w:r>
      <w:r w:rsidR="006C010F">
        <w:rPr>
          <w:rFonts w:ascii="Arial" w:hAnsi="Arial" w:cs="Arial"/>
          <w:sz w:val="24"/>
          <w:szCs w:val="24"/>
        </w:rPr>
        <w:t>a</w:t>
      </w:r>
      <w:r w:rsidRPr="005C3409">
        <w:rPr>
          <w:rFonts w:ascii="Arial" w:hAnsi="Arial" w:cs="Arial"/>
          <w:sz w:val="24"/>
          <w:szCs w:val="24"/>
        </w:rPr>
        <w:t>:</w:t>
      </w:r>
    </w:p>
    <w:p w14:paraId="4FF82EBD" w14:textId="516F9B78" w:rsidR="00733D26" w:rsidRPr="001C7CD4" w:rsidRDefault="00733D26" w:rsidP="001C7CD4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C7CD4">
        <w:rPr>
          <w:rFonts w:ascii="Arial" w:hAnsi="Arial" w:cs="Arial"/>
          <w:sz w:val="24"/>
          <w:szCs w:val="24"/>
        </w:rPr>
        <w:t>Darkom d.o.o.</w:t>
      </w:r>
      <w:r w:rsidR="004B38C5" w:rsidRPr="001C7CD4">
        <w:rPr>
          <w:rFonts w:ascii="Arial" w:hAnsi="Arial" w:cs="Arial"/>
          <w:sz w:val="24"/>
          <w:szCs w:val="24"/>
        </w:rPr>
        <w:t xml:space="preserve"> (8%)</w:t>
      </w:r>
    </w:p>
    <w:p w14:paraId="7F25E6EB" w14:textId="392212E3" w:rsidR="00733D26" w:rsidRPr="001C7CD4" w:rsidRDefault="004B38C5" w:rsidP="001C7CD4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1C7CD4">
        <w:rPr>
          <w:rFonts w:ascii="Arial" w:hAnsi="Arial" w:cs="Arial"/>
          <w:sz w:val="24"/>
          <w:szCs w:val="24"/>
        </w:rPr>
        <w:t>Radio Daruvar d.o.o. (4,5%)</w:t>
      </w:r>
    </w:p>
    <w:p w14:paraId="6C18B28A" w14:textId="77777777" w:rsidR="00733D26" w:rsidRPr="00F13BB2" w:rsidRDefault="00733D26" w:rsidP="00733D26">
      <w:pPr>
        <w:jc w:val="both"/>
        <w:rPr>
          <w:rFonts w:ascii="Arial" w:hAnsi="Arial" w:cs="Arial"/>
          <w:sz w:val="24"/>
          <w:szCs w:val="24"/>
        </w:rPr>
      </w:pPr>
      <w:r w:rsidRPr="00F13BB2">
        <w:rPr>
          <w:rFonts w:ascii="Arial" w:hAnsi="Arial" w:cs="Arial"/>
          <w:sz w:val="24"/>
          <w:szCs w:val="24"/>
        </w:rPr>
        <w:t xml:space="preserve">Općina </w:t>
      </w:r>
      <w:r w:rsidR="00F46483" w:rsidRPr="00F13BB2">
        <w:rPr>
          <w:rFonts w:ascii="Arial" w:hAnsi="Arial" w:cs="Arial"/>
          <w:sz w:val="24"/>
          <w:szCs w:val="24"/>
        </w:rPr>
        <w:t>Sirač</w:t>
      </w:r>
      <w:r w:rsidRPr="00F13BB2">
        <w:rPr>
          <w:rFonts w:ascii="Arial" w:hAnsi="Arial" w:cs="Arial"/>
          <w:sz w:val="24"/>
          <w:szCs w:val="24"/>
        </w:rPr>
        <w:t xml:space="preserve"> (su)osnivač je i sljedećih ustanova:</w:t>
      </w:r>
    </w:p>
    <w:p w14:paraId="0A864B00" w14:textId="0A6B65AA" w:rsidR="00733D26" w:rsidRPr="00914EC2" w:rsidRDefault="00733D26" w:rsidP="001C7CD4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914EC2">
        <w:rPr>
          <w:rFonts w:ascii="Arial" w:hAnsi="Arial" w:cs="Arial"/>
          <w:sz w:val="24"/>
          <w:szCs w:val="24"/>
        </w:rPr>
        <w:t>JVP Grada Daruvara</w:t>
      </w:r>
      <w:r w:rsidR="004B38C5" w:rsidRPr="00914EC2">
        <w:rPr>
          <w:rFonts w:ascii="Arial" w:hAnsi="Arial" w:cs="Arial"/>
          <w:sz w:val="24"/>
          <w:szCs w:val="24"/>
        </w:rPr>
        <w:t xml:space="preserve"> (7%)</w:t>
      </w:r>
      <w:r w:rsidR="004B38C5" w:rsidRPr="00914EC2">
        <w:rPr>
          <w:rFonts w:ascii="Arial" w:hAnsi="Arial" w:cs="Arial"/>
          <w:sz w:val="24"/>
          <w:szCs w:val="24"/>
        </w:rPr>
        <w:tab/>
      </w:r>
    </w:p>
    <w:p w14:paraId="5CF80402" w14:textId="699BD9DB" w:rsidR="00733D26" w:rsidRPr="00914EC2" w:rsidRDefault="004B38C5" w:rsidP="001C7CD4">
      <w:pPr>
        <w:pStyle w:val="Odlomakpopisa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14EC2">
        <w:rPr>
          <w:rFonts w:ascii="Arial" w:hAnsi="Arial" w:cs="Arial"/>
          <w:sz w:val="24"/>
          <w:szCs w:val="24"/>
        </w:rPr>
        <w:t>Javna ustanova za obavljanje komunalnih djelatnosti „KOMUS SIRAČ“ (100%)</w:t>
      </w:r>
      <w:r w:rsidRPr="00914EC2">
        <w:rPr>
          <w:rFonts w:ascii="Arial" w:hAnsi="Arial" w:cs="Arial"/>
          <w:sz w:val="24"/>
          <w:szCs w:val="24"/>
        </w:rPr>
        <w:tab/>
      </w:r>
    </w:p>
    <w:p w14:paraId="71E5CDF4" w14:textId="34E2FE28" w:rsidR="006C010F" w:rsidRPr="00914EC2" w:rsidRDefault="001C7CD4" w:rsidP="00BC610D">
      <w:pPr>
        <w:spacing w:after="0"/>
        <w:ind w:firstLine="360"/>
        <w:jc w:val="both"/>
        <w:rPr>
          <w:rFonts w:ascii="Arial" w:hAnsi="Arial" w:cs="Arial"/>
          <w:iCs/>
          <w:sz w:val="24"/>
          <w:szCs w:val="24"/>
        </w:rPr>
      </w:pPr>
      <w:r w:rsidRPr="00914EC2">
        <w:rPr>
          <w:rFonts w:ascii="Arial" w:hAnsi="Arial" w:cs="Arial"/>
          <w:iCs/>
          <w:sz w:val="24"/>
          <w:szCs w:val="24"/>
        </w:rPr>
        <w:t xml:space="preserve">Tijekom </w:t>
      </w:r>
      <w:r w:rsidR="006C010F" w:rsidRPr="00914EC2">
        <w:rPr>
          <w:rFonts w:ascii="Arial" w:hAnsi="Arial" w:cs="Arial"/>
          <w:iCs/>
          <w:sz w:val="24"/>
          <w:szCs w:val="24"/>
        </w:rPr>
        <w:t>202</w:t>
      </w:r>
      <w:r w:rsidR="004139AB">
        <w:rPr>
          <w:rFonts w:ascii="Arial" w:hAnsi="Arial" w:cs="Arial"/>
          <w:iCs/>
          <w:sz w:val="24"/>
          <w:szCs w:val="24"/>
        </w:rPr>
        <w:t>5</w:t>
      </w:r>
      <w:r w:rsidR="006C010F" w:rsidRPr="00914EC2">
        <w:rPr>
          <w:rFonts w:ascii="Arial" w:hAnsi="Arial" w:cs="Arial"/>
          <w:iCs/>
          <w:sz w:val="24"/>
          <w:szCs w:val="24"/>
        </w:rPr>
        <w:t xml:space="preserve">. godine </w:t>
      </w:r>
      <w:r w:rsidR="00124265" w:rsidRPr="00914EC2">
        <w:rPr>
          <w:rFonts w:ascii="Arial" w:hAnsi="Arial" w:cs="Arial"/>
          <w:iCs/>
          <w:sz w:val="24"/>
          <w:szCs w:val="24"/>
        </w:rPr>
        <w:t xml:space="preserve">Općina Sirač pratila je rad te </w:t>
      </w:r>
      <w:r w:rsidRPr="00914EC2">
        <w:rPr>
          <w:rFonts w:ascii="Arial" w:hAnsi="Arial" w:cs="Arial"/>
          <w:iCs/>
          <w:sz w:val="24"/>
          <w:szCs w:val="24"/>
        </w:rPr>
        <w:t>prisustvoval</w:t>
      </w:r>
      <w:r w:rsidR="00124265" w:rsidRPr="00914EC2">
        <w:rPr>
          <w:rFonts w:ascii="Arial" w:hAnsi="Arial" w:cs="Arial"/>
          <w:iCs/>
          <w:sz w:val="24"/>
          <w:szCs w:val="24"/>
        </w:rPr>
        <w:t>a</w:t>
      </w:r>
      <w:r w:rsidRPr="00914EC2">
        <w:rPr>
          <w:rFonts w:ascii="Arial" w:hAnsi="Arial" w:cs="Arial"/>
          <w:iCs/>
          <w:sz w:val="24"/>
          <w:szCs w:val="24"/>
        </w:rPr>
        <w:t xml:space="preserve"> skupštinama </w:t>
      </w:r>
      <w:r w:rsidR="006C010F" w:rsidRPr="00914EC2">
        <w:rPr>
          <w:rFonts w:ascii="Arial" w:hAnsi="Arial" w:cs="Arial"/>
          <w:iCs/>
          <w:sz w:val="24"/>
          <w:szCs w:val="24"/>
        </w:rPr>
        <w:t xml:space="preserve">trgovačkih društva u </w:t>
      </w:r>
      <w:proofErr w:type="spellStart"/>
      <w:r w:rsidR="006C010F" w:rsidRPr="00914EC2">
        <w:rPr>
          <w:rFonts w:ascii="Arial" w:hAnsi="Arial" w:cs="Arial"/>
          <w:iCs/>
          <w:sz w:val="24"/>
          <w:szCs w:val="24"/>
        </w:rPr>
        <w:t>suvlasništu</w:t>
      </w:r>
      <w:proofErr w:type="spellEnd"/>
      <w:r w:rsidR="006C010F" w:rsidRPr="00914EC2">
        <w:rPr>
          <w:rFonts w:ascii="Arial" w:hAnsi="Arial" w:cs="Arial"/>
          <w:iCs/>
          <w:sz w:val="24"/>
          <w:szCs w:val="24"/>
        </w:rPr>
        <w:t xml:space="preserve"> Općine Sirač.</w:t>
      </w:r>
      <w:r w:rsidR="00124265" w:rsidRPr="00914EC2">
        <w:rPr>
          <w:rFonts w:ascii="Arial" w:hAnsi="Arial" w:cs="Arial"/>
          <w:iCs/>
          <w:sz w:val="24"/>
          <w:szCs w:val="24"/>
        </w:rPr>
        <w:t xml:space="preserve"> Poslovanje istih je transparentno i odgovorno.</w:t>
      </w:r>
    </w:p>
    <w:p w14:paraId="66F1FA22" w14:textId="77777777" w:rsidR="00124265" w:rsidRPr="00914EC2" w:rsidRDefault="00124265" w:rsidP="006C010F">
      <w:pPr>
        <w:spacing w:after="0"/>
        <w:ind w:firstLine="360"/>
        <w:rPr>
          <w:rFonts w:ascii="Arial" w:hAnsi="Arial" w:cs="Arial"/>
          <w:iCs/>
          <w:sz w:val="24"/>
          <w:szCs w:val="24"/>
        </w:rPr>
      </w:pPr>
    </w:p>
    <w:p w14:paraId="0735F552" w14:textId="6FD273CD" w:rsidR="006C010F" w:rsidRPr="00914EC2" w:rsidRDefault="006C010F" w:rsidP="00BC610D">
      <w:pPr>
        <w:spacing w:after="0"/>
        <w:ind w:firstLine="360"/>
        <w:jc w:val="both"/>
        <w:rPr>
          <w:rFonts w:ascii="Arial" w:hAnsi="Arial" w:cs="Arial"/>
          <w:iCs/>
          <w:sz w:val="24"/>
          <w:szCs w:val="24"/>
        </w:rPr>
      </w:pPr>
      <w:r w:rsidRPr="00914EC2">
        <w:rPr>
          <w:rFonts w:ascii="Arial" w:hAnsi="Arial" w:cs="Arial"/>
          <w:iCs/>
          <w:sz w:val="24"/>
          <w:szCs w:val="24"/>
        </w:rPr>
        <w:t xml:space="preserve">Tijekom izvještajnog razdoblja Općinski načelnik </w:t>
      </w:r>
      <w:proofErr w:type="spellStart"/>
      <w:r w:rsidRPr="00914EC2">
        <w:rPr>
          <w:rFonts w:ascii="Arial" w:hAnsi="Arial" w:cs="Arial"/>
          <w:iCs/>
          <w:sz w:val="24"/>
          <w:szCs w:val="24"/>
        </w:rPr>
        <w:t>sudjalovao</w:t>
      </w:r>
      <w:proofErr w:type="spellEnd"/>
      <w:r w:rsidRPr="00914EC2">
        <w:rPr>
          <w:rFonts w:ascii="Arial" w:hAnsi="Arial" w:cs="Arial"/>
          <w:iCs/>
          <w:sz w:val="24"/>
          <w:szCs w:val="24"/>
        </w:rPr>
        <w:t xml:space="preserve"> je na sjednicama upravnog vijeća Javne ustanove za obavljanje komunalnih djelatnosti "Komus Sirač" te su kontinuirano prikupljana i analizirana izvješća o poslovanju iste.</w:t>
      </w:r>
      <w:r w:rsidR="00124265" w:rsidRPr="00914EC2">
        <w:rPr>
          <w:rFonts w:ascii="Arial" w:hAnsi="Arial" w:cs="Arial"/>
          <w:iCs/>
          <w:sz w:val="24"/>
          <w:szCs w:val="24"/>
        </w:rPr>
        <w:t xml:space="preserve"> Rad </w:t>
      </w:r>
      <w:proofErr w:type="spellStart"/>
      <w:r w:rsidR="00124265" w:rsidRPr="00914EC2">
        <w:rPr>
          <w:rFonts w:ascii="Arial" w:hAnsi="Arial" w:cs="Arial"/>
          <w:iCs/>
          <w:sz w:val="24"/>
          <w:szCs w:val="24"/>
        </w:rPr>
        <w:t>Komusa</w:t>
      </w:r>
      <w:proofErr w:type="spellEnd"/>
      <w:r w:rsidR="00124265" w:rsidRPr="00914EC2">
        <w:rPr>
          <w:rFonts w:ascii="Arial" w:hAnsi="Arial" w:cs="Arial"/>
          <w:iCs/>
          <w:sz w:val="24"/>
          <w:szCs w:val="24"/>
        </w:rPr>
        <w:t xml:space="preserve"> Sirač </w:t>
      </w:r>
      <w:proofErr w:type="spellStart"/>
      <w:r w:rsidR="00124265" w:rsidRPr="00914EC2">
        <w:rPr>
          <w:rFonts w:ascii="Arial" w:hAnsi="Arial" w:cs="Arial"/>
          <w:iCs/>
          <w:sz w:val="24"/>
          <w:szCs w:val="24"/>
        </w:rPr>
        <w:t>važn</w:t>
      </w:r>
      <w:proofErr w:type="spellEnd"/>
      <w:r w:rsidR="00124265" w:rsidRPr="00914EC2">
        <w:rPr>
          <w:rFonts w:ascii="Arial" w:hAnsi="Arial" w:cs="Arial"/>
          <w:iCs/>
          <w:sz w:val="24"/>
          <w:szCs w:val="24"/>
        </w:rPr>
        <w:t xml:space="preserve"> je za građane te Općina prati nj</w:t>
      </w:r>
      <w:r w:rsidR="00914EC2" w:rsidRPr="00914EC2">
        <w:rPr>
          <w:rFonts w:ascii="Arial" w:hAnsi="Arial" w:cs="Arial"/>
          <w:iCs/>
          <w:sz w:val="24"/>
          <w:szCs w:val="24"/>
        </w:rPr>
        <w:t>egov</w:t>
      </w:r>
      <w:r w:rsidR="00124265" w:rsidRPr="00914EC2">
        <w:rPr>
          <w:rFonts w:ascii="Arial" w:hAnsi="Arial" w:cs="Arial"/>
          <w:iCs/>
          <w:sz w:val="24"/>
          <w:szCs w:val="24"/>
        </w:rPr>
        <w:t xml:space="preserve"> rad, strateški </w:t>
      </w:r>
      <w:r w:rsidR="00914EC2" w:rsidRPr="00914EC2">
        <w:rPr>
          <w:rFonts w:ascii="Arial" w:hAnsi="Arial" w:cs="Arial"/>
          <w:iCs/>
          <w:sz w:val="24"/>
          <w:szCs w:val="24"/>
        </w:rPr>
        <w:t>ga</w:t>
      </w:r>
      <w:r w:rsidR="00124265" w:rsidRPr="00914EC2">
        <w:rPr>
          <w:rFonts w:ascii="Arial" w:hAnsi="Arial" w:cs="Arial"/>
          <w:iCs/>
          <w:sz w:val="24"/>
          <w:szCs w:val="24"/>
        </w:rPr>
        <w:t xml:space="preserve"> usmjerava i pomaže u sveobuhvatnom razvoju, kako bi se ostvarile planirane aktivnosti s krajnjim ciljem učinkovitog </w:t>
      </w:r>
      <w:proofErr w:type="spellStart"/>
      <w:r w:rsidR="00124265" w:rsidRPr="00914EC2">
        <w:rPr>
          <w:rFonts w:ascii="Arial" w:hAnsi="Arial" w:cs="Arial"/>
          <w:iCs/>
          <w:sz w:val="24"/>
          <w:szCs w:val="24"/>
        </w:rPr>
        <w:t>obaljanja</w:t>
      </w:r>
      <w:proofErr w:type="spellEnd"/>
      <w:r w:rsidR="00124265" w:rsidRPr="00914EC2">
        <w:rPr>
          <w:rFonts w:ascii="Arial" w:hAnsi="Arial" w:cs="Arial"/>
          <w:iCs/>
          <w:sz w:val="24"/>
          <w:szCs w:val="24"/>
        </w:rPr>
        <w:t xml:space="preserve"> komunalnih djelatnosti </w:t>
      </w:r>
      <w:r w:rsidR="00914EC2" w:rsidRPr="00914EC2">
        <w:rPr>
          <w:rFonts w:ascii="Arial" w:hAnsi="Arial" w:cs="Arial"/>
          <w:iCs/>
          <w:sz w:val="24"/>
          <w:szCs w:val="24"/>
        </w:rPr>
        <w:t xml:space="preserve">na području cijele </w:t>
      </w:r>
      <w:r w:rsidR="00124265" w:rsidRPr="00914EC2">
        <w:rPr>
          <w:rFonts w:ascii="Arial" w:hAnsi="Arial" w:cs="Arial"/>
          <w:iCs/>
          <w:sz w:val="24"/>
          <w:szCs w:val="24"/>
        </w:rPr>
        <w:t>Općine Sirač.</w:t>
      </w:r>
      <w:r w:rsidRPr="00914EC2">
        <w:rPr>
          <w:rFonts w:ascii="Arial" w:hAnsi="Arial" w:cs="Arial"/>
          <w:iCs/>
          <w:sz w:val="24"/>
          <w:szCs w:val="24"/>
        </w:rPr>
        <w:t xml:space="preserve"> </w:t>
      </w:r>
    </w:p>
    <w:p w14:paraId="02FE538D" w14:textId="79A1870A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0C81AB41" w14:textId="7EA7EE1F" w:rsidR="00914EC2" w:rsidRPr="00BC610D" w:rsidRDefault="00914EC2" w:rsidP="00BC610D">
      <w:pPr>
        <w:spacing w:after="0"/>
        <w:ind w:firstLine="360"/>
        <w:jc w:val="both"/>
        <w:rPr>
          <w:rFonts w:ascii="Arial" w:hAnsi="Arial" w:cs="Arial"/>
          <w:iCs/>
          <w:sz w:val="24"/>
          <w:szCs w:val="24"/>
        </w:rPr>
      </w:pPr>
      <w:r w:rsidRPr="00BC610D">
        <w:rPr>
          <w:rFonts w:ascii="Arial" w:hAnsi="Arial" w:cs="Arial"/>
          <w:iCs/>
          <w:sz w:val="24"/>
          <w:szCs w:val="24"/>
        </w:rPr>
        <w:t>Komus Sirač Općini Sirač redovit</w:t>
      </w:r>
      <w:r w:rsidR="00BC610D">
        <w:rPr>
          <w:rFonts w:ascii="Arial" w:hAnsi="Arial" w:cs="Arial"/>
          <w:iCs/>
          <w:sz w:val="24"/>
          <w:szCs w:val="24"/>
        </w:rPr>
        <w:t>o</w:t>
      </w:r>
      <w:r w:rsidRPr="00BC610D">
        <w:rPr>
          <w:rFonts w:ascii="Arial" w:hAnsi="Arial" w:cs="Arial"/>
          <w:iCs/>
          <w:sz w:val="24"/>
          <w:szCs w:val="24"/>
        </w:rPr>
        <w:t xml:space="preserve"> dostavlja Izjavu o fiskalnoj odgovornosti  putem koje se </w:t>
      </w:r>
      <w:r w:rsidR="00BC610D" w:rsidRPr="00BC610D">
        <w:rPr>
          <w:rFonts w:ascii="Arial" w:hAnsi="Arial" w:cs="Arial"/>
          <w:iCs/>
          <w:sz w:val="24"/>
          <w:szCs w:val="24"/>
        </w:rPr>
        <w:t>prati zakonito, namjensko i svrhovito korištenje sredstava te učinkovito i djelotvorno funkcioniranje sustava financijskog upravljanja i kontrola.</w:t>
      </w:r>
    </w:p>
    <w:p w14:paraId="03AC6D0E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2199EE86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6F56B282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7EDC2A6B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3CD44C0D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531D9EED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2BD0BBDA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40504593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5FE5CB4B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702C3D24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27CAAE09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687289F5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2081470E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153718A3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3A1570AD" w14:textId="77777777" w:rsidR="008721EA" w:rsidRDefault="008721EA" w:rsidP="00124265">
      <w:pPr>
        <w:spacing w:after="0"/>
        <w:ind w:firstLine="360"/>
        <w:rPr>
          <w:rFonts w:ascii="Arial" w:hAnsi="Arial" w:cs="Arial"/>
          <w:iCs/>
        </w:rPr>
      </w:pPr>
    </w:p>
    <w:p w14:paraId="4669CE1A" w14:textId="77777777" w:rsidR="006C010F" w:rsidRDefault="006C010F" w:rsidP="006C010F">
      <w:pPr>
        <w:pStyle w:val="Podnaslov"/>
        <w:numPr>
          <w:ilvl w:val="0"/>
          <w:numId w:val="0"/>
        </w:numPr>
        <w:ind w:left="1080"/>
        <w:jc w:val="both"/>
        <w:rPr>
          <w:rFonts w:ascii="Arial" w:hAnsi="Arial" w:cs="Arial"/>
          <w:color w:val="auto"/>
        </w:rPr>
      </w:pPr>
    </w:p>
    <w:p w14:paraId="12C63703" w14:textId="458684AB" w:rsidR="00180371" w:rsidRDefault="00124265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2" w:name="_Toc150347716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UPRAVLJANJA IMOVINOM U ODNOSU NA POTRAŽIVANJA, OBVEZE, SUDSKE I DRUGE SPOROVE OPĆINE </w:t>
      </w:r>
      <w:r w:rsidR="00F46483">
        <w:rPr>
          <w:rFonts w:ascii="Arial" w:hAnsi="Arial" w:cs="Arial"/>
          <w:color w:val="auto"/>
        </w:rPr>
        <w:t>SIRAČ</w:t>
      </w:r>
      <w:bookmarkEnd w:id="2"/>
    </w:p>
    <w:p w14:paraId="001A05BB" w14:textId="5E2763B9" w:rsidR="00B71F30" w:rsidRDefault="00715537" w:rsidP="0040600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E3A70">
        <w:rPr>
          <w:rFonts w:ascii="Arial" w:hAnsi="Arial" w:cs="Arial"/>
          <w:sz w:val="24"/>
          <w:szCs w:val="24"/>
        </w:rPr>
        <w:t xml:space="preserve">Općina </w:t>
      </w:r>
      <w:r w:rsidR="00F46483" w:rsidRPr="006E3A70">
        <w:rPr>
          <w:rFonts w:ascii="Arial" w:hAnsi="Arial" w:cs="Arial"/>
          <w:sz w:val="24"/>
          <w:szCs w:val="24"/>
        </w:rPr>
        <w:t>Sirač</w:t>
      </w:r>
      <w:r w:rsidR="002F2429">
        <w:rPr>
          <w:rFonts w:ascii="Arial" w:hAnsi="Arial" w:cs="Arial"/>
          <w:sz w:val="24"/>
          <w:szCs w:val="24"/>
        </w:rPr>
        <w:t xml:space="preserve"> </w:t>
      </w:r>
      <w:r w:rsidR="00B71F30" w:rsidRPr="006E3A70">
        <w:rPr>
          <w:rFonts w:ascii="Arial" w:hAnsi="Arial" w:cs="Arial"/>
          <w:iCs/>
          <w:sz w:val="24"/>
          <w:szCs w:val="24"/>
        </w:rPr>
        <w:t>ima spor u postupku povrata imovine oduzete Srpskoj pravoslavnoj crkvi. Naime, Ured državne uprave u BBŽ donio je rješenje kojim Srpskoj pravoslavnoj crkvi utvrđuje pravo na povrat vlasništva i posjeda poslovnog prostora neto korisne površine 92,27 m</w:t>
      </w:r>
      <w:r w:rsidR="00B71F30" w:rsidRPr="006E3A70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B71F30" w:rsidRPr="006E3A70">
        <w:rPr>
          <w:rFonts w:ascii="Arial" w:hAnsi="Arial" w:cs="Arial"/>
          <w:iCs/>
          <w:sz w:val="24"/>
          <w:szCs w:val="24"/>
        </w:rPr>
        <w:t xml:space="preserve">, </w:t>
      </w:r>
      <w:r w:rsidR="0085222F">
        <w:rPr>
          <w:rFonts w:ascii="Arial" w:hAnsi="Arial" w:cs="Arial"/>
          <w:iCs/>
          <w:sz w:val="24"/>
          <w:szCs w:val="24"/>
        </w:rPr>
        <w:t>koji se nalazi</w:t>
      </w:r>
      <w:r w:rsidR="00B71F30" w:rsidRPr="006E3A70">
        <w:rPr>
          <w:rFonts w:ascii="Arial" w:hAnsi="Arial" w:cs="Arial"/>
          <w:iCs/>
          <w:sz w:val="24"/>
          <w:szCs w:val="24"/>
        </w:rPr>
        <w:t xml:space="preserve"> u prizemlju i stana neto korisne površine 149,84 m</w:t>
      </w:r>
      <w:r w:rsidR="00B71F30" w:rsidRPr="006E3A70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B71F30" w:rsidRPr="006E3A70">
        <w:rPr>
          <w:rFonts w:ascii="Arial" w:hAnsi="Arial" w:cs="Arial"/>
          <w:iCs/>
          <w:sz w:val="24"/>
          <w:szCs w:val="24"/>
        </w:rPr>
        <w:t xml:space="preserve">, </w:t>
      </w:r>
      <w:r w:rsidR="0085222F">
        <w:rPr>
          <w:rFonts w:ascii="Arial" w:hAnsi="Arial" w:cs="Arial"/>
          <w:iCs/>
          <w:sz w:val="24"/>
          <w:szCs w:val="24"/>
        </w:rPr>
        <w:t>koji se nalazi</w:t>
      </w:r>
      <w:r w:rsidR="00B71F30" w:rsidRPr="006E3A70">
        <w:rPr>
          <w:rFonts w:ascii="Arial" w:hAnsi="Arial" w:cs="Arial"/>
          <w:iCs/>
          <w:sz w:val="24"/>
          <w:szCs w:val="24"/>
        </w:rPr>
        <w:t xml:space="preserve"> na katu zgrade u Bijeloj sagrađenoj na kč.br. 64/3 upisane u zk.ul.br. 246 k.o. Bijela sa pripadajućim zemljištem. Obveznik naknade za nekretnine je Općina Sirač. Na navedeno rješenje Općina Sirač uložila je žalbu</w:t>
      </w:r>
      <w:r w:rsidR="0039073A">
        <w:rPr>
          <w:rFonts w:ascii="Arial" w:hAnsi="Arial" w:cs="Arial"/>
          <w:iCs/>
          <w:sz w:val="24"/>
          <w:szCs w:val="24"/>
        </w:rPr>
        <w:t>, a po rješenju Ministarstva pravosuđa i uprave RH i tužbu. Upravni sud u Zagrebu poništio je Rješenje Ministarstva pravosuđa i uprave RH te je predmet vraćen prvostupanjskom tijelu na ponovni postupak</w:t>
      </w:r>
      <w:r w:rsidR="00B71F30" w:rsidRPr="006E3A70">
        <w:rPr>
          <w:rFonts w:ascii="Arial" w:hAnsi="Arial" w:cs="Arial"/>
          <w:iCs/>
          <w:sz w:val="24"/>
          <w:szCs w:val="24"/>
        </w:rPr>
        <w:t xml:space="preserve">.  </w:t>
      </w:r>
    </w:p>
    <w:p w14:paraId="5EC9A733" w14:textId="5ADFB2E4" w:rsidR="00124265" w:rsidRPr="006E3A70" w:rsidRDefault="00124265" w:rsidP="00406005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Ponovni postupak tijekom 202</w:t>
      </w:r>
      <w:r w:rsidR="004139AB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>. godine nije završen.</w:t>
      </w:r>
    </w:p>
    <w:p w14:paraId="31930CD3" w14:textId="52DEAB5F" w:rsidR="00124265" w:rsidRDefault="00715537" w:rsidP="007155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4693">
        <w:rPr>
          <w:rFonts w:ascii="Arial" w:hAnsi="Arial" w:cs="Arial"/>
          <w:sz w:val="24"/>
          <w:szCs w:val="24"/>
        </w:rPr>
        <w:t xml:space="preserve">U vezi potraživanja, Općina </w:t>
      </w:r>
      <w:r w:rsidR="00F46483" w:rsidRPr="005C4693">
        <w:rPr>
          <w:rFonts w:ascii="Arial" w:hAnsi="Arial" w:cs="Arial"/>
          <w:sz w:val="24"/>
          <w:szCs w:val="24"/>
        </w:rPr>
        <w:t>Sirač</w:t>
      </w:r>
      <w:r w:rsidRPr="005C4693">
        <w:rPr>
          <w:rFonts w:ascii="Arial" w:hAnsi="Arial" w:cs="Arial"/>
          <w:sz w:val="24"/>
          <w:szCs w:val="24"/>
        </w:rPr>
        <w:t xml:space="preserve"> je tijekom 2019. godine od Ministarstva državne imovine zatražila nek</w:t>
      </w:r>
      <w:r w:rsidR="001556A4" w:rsidRPr="005C4693">
        <w:rPr>
          <w:rFonts w:ascii="Arial" w:hAnsi="Arial" w:cs="Arial"/>
          <w:sz w:val="24"/>
          <w:szCs w:val="24"/>
        </w:rPr>
        <w:t xml:space="preserve">retnine </w:t>
      </w:r>
      <w:r w:rsidR="00F1657A" w:rsidRPr="005C4693">
        <w:rPr>
          <w:rFonts w:ascii="Arial" w:hAnsi="Arial" w:cs="Arial"/>
          <w:sz w:val="24"/>
          <w:szCs w:val="24"/>
        </w:rPr>
        <w:t xml:space="preserve">(k.č.br. 2937/1, 2936, 2938 k.o. Sirač, te k.č.br. 400 k.o. Sirač), </w:t>
      </w:r>
      <w:r w:rsidR="001556A4" w:rsidRPr="005C4693">
        <w:rPr>
          <w:rFonts w:ascii="Arial" w:hAnsi="Arial" w:cs="Arial"/>
          <w:sz w:val="24"/>
          <w:szCs w:val="24"/>
        </w:rPr>
        <w:t xml:space="preserve">a </w:t>
      </w:r>
      <w:r w:rsidRPr="005C4693">
        <w:rPr>
          <w:rFonts w:ascii="Arial" w:hAnsi="Arial" w:cs="Arial"/>
          <w:sz w:val="24"/>
          <w:szCs w:val="24"/>
        </w:rPr>
        <w:t>tijekom 202</w:t>
      </w:r>
      <w:r w:rsidR="0039073A" w:rsidRPr="005C4693">
        <w:rPr>
          <w:rFonts w:ascii="Arial" w:hAnsi="Arial" w:cs="Arial"/>
          <w:sz w:val="24"/>
          <w:szCs w:val="24"/>
        </w:rPr>
        <w:t>4</w:t>
      </w:r>
      <w:r w:rsidRPr="005C4693">
        <w:rPr>
          <w:rFonts w:ascii="Arial" w:hAnsi="Arial" w:cs="Arial"/>
          <w:sz w:val="24"/>
          <w:szCs w:val="24"/>
        </w:rPr>
        <w:t xml:space="preserve">. godine </w:t>
      </w:r>
      <w:proofErr w:type="spellStart"/>
      <w:r w:rsidR="004C4687" w:rsidRPr="005C4693">
        <w:rPr>
          <w:rFonts w:ascii="Arial" w:hAnsi="Arial" w:cs="Arial"/>
          <w:sz w:val="24"/>
          <w:szCs w:val="24"/>
        </w:rPr>
        <w:t>suklado</w:t>
      </w:r>
      <w:proofErr w:type="spellEnd"/>
      <w:r w:rsidR="004C4687" w:rsidRPr="005C4693">
        <w:rPr>
          <w:rFonts w:ascii="Arial" w:hAnsi="Arial" w:cs="Arial"/>
          <w:sz w:val="24"/>
          <w:szCs w:val="24"/>
        </w:rPr>
        <w:t xml:space="preserve"> odredbama Zakona o upravljanju nekretninama i pokretninama u vlasništvu Republike Hrv</w:t>
      </w:r>
      <w:r w:rsidR="00F53ACA" w:rsidRPr="005C4693">
        <w:rPr>
          <w:rFonts w:ascii="Arial" w:hAnsi="Arial" w:cs="Arial"/>
          <w:sz w:val="24"/>
          <w:szCs w:val="24"/>
        </w:rPr>
        <w:t>a</w:t>
      </w:r>
      <w:r w:rsidR="004C4687" w:rsidRPr="005C4693">
        <w:rPr>
          <w:rFonts w:ascii="Arial" w:hAnsi="Arial" w:cs="Arial"/>
          <w:sz w:val="24"/>
          <w:szCs w:val="24"/>
        </w:rPr>
        <w:t xml:space="preserve">tske (»Narodne novine«, broj 155/23) </w:t>
      </w:r>
      <w:r w:rsidR="00F53ACA" w:rsidRPr="005C4693">
        <w:rPr>
          <w:rFonts w:ascii="Arial" w:hAnsi="Arial" w:cs="Arial"/>
          <w:sz w:val="24"/>
          <w:szCs w:val="24"/>
        </w:rPr>
        <w:t xml:space="preserve">predmeti su predani na </w:t>
      </w:r>
      <w:r w:rsidR="00F1657A" w:rsidRPr="005C4693">
        <w:rPr>
          <w:rFonts w:ascii="Arial" w:hAnsi="Arial" w:cs="Arial"/>
          <w:sz w:val="24"/>
          <w:szCs w:val="24"/>
        </w:rPr>
        <w:t xml:space="preserve">nadležno </w:t>
      </w:r>
      <w:r w:rsidR="00F53ACA" w:rsidRPr="005C4693">
        <w:rPr>
          <w:rFonts w:ascii="Arial" w:hAnsi="Arial" w:cs="Arial"/>
          <w:sz w:val="24"/>
          <w:szCs w:val="24"/>
        </w:rPr>
        <w:t xml:space="preserve">postupanje Bjelovarsko-bilogorskoj županiji. </w:t>
      </w:r>
      <w:r w:rsidR="00D679FD" w:rsidRPr="005C4693">
        <w:rPr>
          <w:rFonts w:ascii="Arial" w:hAnsi="Arial" w:cs="Arial"/>
          <w:sz w:val="24"/>
          <w:szCs w:val="24"/>
        </w:rPr>
        <w:t>P</w:t>
      </w:r>
      <w:r w:rsidR="00F1657A" w:rsidRPr="005C4693">
        <w:rPr>
          <w:rFonts w:ascii="Arial" w:hAnsi="Arial" w:cs="Arial"/>
          <w:sz w:val="24"/>
          <w:szCs w:val="24"/>
        </w:rPr>
        <w:t xml:space="preserve">redmetni su </w:t>
      </w:r>
      <w:r w:rsidR="00F53ACA" w:rsidRPr="005C4693">
        <w:rPr>
          <w:rFonts w:ascii="Arial" w:hAnsi="Arial" w:cs="Arial"/>
          <w:sz w:val="24"/>
          <w:szCs w:val="24"/>
        </w:rPr>
        <w:t xml:space="preserve">usklađeni u pogledu katastarskih čestica </w:t>
      </w:r>
      <w:r w:rsidR="00F1657A" w:rsidRPr="005C4693">
        <w:rPr>
          <w:rFonts w:ascii="Arial" w:hAnsi="Arial" w:cs="Arial"/>
          <w:sz w:val="24"/>
          <w:szCs w:val="24"/>
        </w:rPr>
        <w:t xml:space="preserve">te su </w:t>
      </w:r>
      <w:r w:rsidR="00F53ACA" w:rsidRPr="005C4693">
        <w:rPr>
          <w:rFonts w:ascii="Arial" w:hAnsi="Arial" w:cs="Arial"/>
          <w:sz w:val="24"/>
          <w:szCs w:val="24"/>
        </w:rPr>
        <w:t xml:space="preserve">trenutno zatražene </w:t>
      </w:r>
      <w:r w:rsidR="00F1657A" w:rsidRPr="005C4693">
        <w:rPr>
          <w:rFonts w:ascii="Arial" w:hAnsi="Arial" w:cs="Arial"/>
          <w:sz w:val="24"/>
          <w:szCs w:val="24"/>
        </w:rPr>
        <w:t xml:space="preserve">nekretnine </w:t>
      </w:r>
      <w:r w:rsidR="00124265">
        <w:rPr>
          <w:rFonts w:ascii="Arial" w:hAnsi="Arial" w:cs="Arial"/>
          <w:sz w:val="24"/>
          <w:szCs w:val="24"/>
        </w:rPr>
        <w:t xml:space="preserve">označene kao k.č.br. </w:t>
      </w:r>
      <w:r w:rsidR="00124265" w:rsidRPr="00124265">
        <w:rPr>
          <w:rFonts w:ascii="Arial" w:hAnsi="Arial" w:cs="Arial"/>
          <w:sz w:val="24"/>
          <w:szCs w:val="24"/>
        </w:rPr>
        <w:t>2937/1, 2938, 2942, 2939, 2940, 2941</w:t>
      </w:r>
      <w:r w:rsidR="00124265">
        <w:rPr>
          <w:rFonts w:ascii="Arial" w:hAnsi="Arial" w:cs="Arial"/>
          <w:sz w:val="24"/>
          <w:szCs w:val="24"/>
        </w:rPr>
        <w:t xml:space="preserve"> i 400 k.o. Sirač. </w:t>
      </w:r>
    </w:p>
    <w:p w14:paraId="4B0EA059" w14:textId="058D353F" w:rsidR="004228CF" w:rsidRDefault="004228CF" w:rsidP="0071553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4139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 rješavao se postupak ali isti još nije završen.</w:t>
      </w:r>
    </w:p>
    <w:p w14:paraId="0816C6A0" w14:textId="4C166679" w:rsidR="004228CF" w:rsidRDefault="00BC610D" w:rsidP="0071553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Zemljište u Poduzetničkoj zoni Lanara označeno kao k.č.br. 2927/11 k.o. Sirač nije zatraženo obzirom da je Bjelovarsko-bilogorska županija preuzela postupanje, te je s istom utvrđen prioritet rješavanja katastarskih čestica potrebnih za izgradnju pročistača. </w:t>
      </w:r>
    </w:p>
    <w:p w14:paraId="381A9021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A97CC3A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C651EC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0392E1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340C65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DD2755F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618B01" w14:textId="77777777" w:rsidR="008721EA" w:rsidRDefault="008721EA" w:rsidP="0071553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AA140B" w14:textId="1429D367" w:rsidR="00180371" w:rsidRPr="0039073A" w:rsidRDefault="004228CF" w:rsidP="0039073A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3" w:name="_Toc150347717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39073A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39073A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39073A">
        <w:rPr>
          <w:rFonts w:ascii="Arial" w:hAnsi="Arial" w:cs="Arial"/>
          <w:color w:val="auto"/>
        </w:rPr>
        <w:t xml:space="preserve"> UPRAVLJANJA I RASPOLAGANJA STANOVIMA I POSLOVNIM PROSTORIMA U VLASNIŠTVU OPĆINE </w:t>
      </w:r>
      <w:r w:rsidR="00F46483" w:rsidRPr="0039073A">
        <w:rPr>
          <w:rFonts w:ascii="Arial" w:hAnsi="Arial" w:cs="Arial"/>
          <w:color w:val="auto"/>
        </w:rPr>
        <w:t>SIRAČ</w:t>
      </w:r>
      <w:bookmarkEnd w:id="3"/>
    </w:p>
    <w:p w14:paraId="49E98922" w14:textId="0C7464B2" w:rsidR="00443F7A" w:rsidRPr="00443F7A" w:rsidRDefault="00443F7A" w:rsidP="00443F7A">
      <w:pPr>
        <w:spacing w:after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43F7A">
        <w:rPr>
          <w:rFonts w:ascii="Arial" w:hAnsi="Arial" w:cs="Arial"/>
          <w:iCs/>
          <w:sz w:val="24"/>
          <w:szCs w:val="24"/>
        </w:rPr>
        <w:t>Tijekom 202</w:t>
      </w:r>
      <w:r w:rsidR="004139AB">
        <w:rPr>
          <w:rFonts w:ascii="Arial" w:hAnsi="Arial" w:cs="Arial"/>
          <w:iCs/>
          <w:sz w:val="24"/>
          <w:szCs w:val="24"/>
        </w:rPr>
        <w:t>5</w:t>
      </w:r>
      <w:r w:rsidRPr="00443F7A">
        <w:rPr>
          <w:rFonts w:ascii="Arial" w:hAnsi="Arial" w:cs="Arial"/>
          <w:iCs/>
          <w:sz w:val="24"/>
          <w:szCs w:val="24"/>
        </w:rPr>
        <w:t xml:space="preserve">. godine Općina Sirač nije kupovala </w:t>
      </w:r>
      <w:r w:rsidR="00DC37E2">
        <w:rPr>
          <w:rFonts w:ascii="Arial" w:hAnsi="Arial" w:cs="Arial"/>
          <w:iCs/>
          <w:sz w:val="24"/>
          <w:szCs w:val="24"/>
        </w:rPr>
        <w:t xml:space="preserve">niti prodavala </w:t>
      </w:r>
      <w:r w:rsidRPr="00443F7A">
        <w:rPr>
          <w:rFonts w:ascii="Arial" w:hAnsi="Arial" w:cs="Arial"/>
          <w:iCs/>
          <w:sz w:val="24"/>
          <w:szCs w:val="24"/>
        </w:rPr>
        <w:t>stanove</w:t>
      </w:r>
      <w:r w:rsidR="00DC37E2">
        <w:rPr>
          <w:rFonts w:ascii="Arial" w:hAnsi="Arial" w:cs="Arial"/>
          <w:iCs/>
          <w:sz w:val="24"/>
          <w:szCs w:val="24"/>
        </w:rPr>
        <w:t xml:space="preserve"> i</w:t>
      </w:r>
      <w:r w:rsidRPr="00443F7A">
        <w:rPr>
          <w:rFonts w:ascii="Arial" w:hAnsi="Arial" w:cs="Arial"/>
          <w:iCs/>
          <w:sz w:val="24"/>
          <w:szCs w:val="24"/>
        </w:rPr>
        <w:t xml:space="preserve"> poslovne prostore.</w:t>
      </w:r>
    </w:p>
    <w:p w14:paraId="4BA836AB" w14:textId="5F653C6D" w:rsidR="009677BC" w:rsidRPr="00443F7A" w:rsidRDefault="004228CF" w:rsidP="002442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F7A">
        <w:rPr>
          <w:rFonts w:ascii="Arial" w:hAnsi="Arial" w:cs="Arial"/>
          <w:sz w:val="24"/>
          <w:szCs w:val="24"/>
        </w:rPr>
        <w:t>Općina Sirač tijekom 202</w:t>
      </w:r>
      <w:r w:rsidR="004139AB">
        <w:rPr>
          <w:rFonts w:ascii="Arial" w:hAnsi="Arial" w:cs="Arial"/>
          <w:sz w:val="24"/>
          <w:szCs w:val="24"/>
        </w:rPr>
        <w:t>5</w:t>
      </w:r>
      <w:r w:rsidRPr="00443F7A">
        <w:rPr>
          <w:rFonts w:ascii="Arial" w:hAnsi="Arial" w:cs="Arial"/>
          <w:sz w:val="24"/>
          <w:szCs w:val="24"/>
        </w:rPr>
        <w:t xml:space="preserve">. godine raspolagala je </w:t>
      </w:r>
      <w:r w:rsidR="00244248" w:rsidRPr="00443F7A">
        <w:rPr>
          <w:rFonts w:ascii="Arial" w:hAnsi="Arial" w:cs="Arial"/>
          <w:sz w:val="24"/>
          <w:szCs w:val="24"/>
        </w:rPr>
        <w:t>svojim poslovnim prostorima</w:t>
      </w:r>
      <w:r w:rsidR="00443F7A" w:rsidRPr="00443F7A">
        <w:rPr>
          <w:rFonts w:ascii="Arial" w:hAnsi="Arial" w:cs="Arial"/>
          <w:sz w:val="24"/>
          <w:szCs w:val="24"/>
        </w:rPr>
        <w:t xml:space="preserve"> </w:t>
      </w:r>
      <w:r w:rsidR="00244248" w:rsidRPr="00443F7A">
        <w:rPr>
          <w:rFonts w:ascii="Arial" w:hAnsi="Arial" w:cs="Arial"/>
          <w:sz w:val="24"/>
          <w:szCs w:val="24"/>
        </w:rPr>
        <w:t>te za iste</w:t>
      </w:r>
      <w:r w:rsidR="00443F7A" w:rsidRPr="00443F7A">
        <w:rPr>
          <w:rFonts w:ascii="Arial" w:hAnsi="Arial" w:cs="Arial"/>
          <w:sz w:val="24"/>
          <w:szCs w:val="24"/>
        </w:rPr>
        <w:t xml:space="preserve"> ima</w:t>
      </w:r>
      <w:r w:rsidR="00244248" w:rsidRPr="00443F7A">
        <w:rPr>
          <w:rFonts w:ascii="Arial" w:hAnsi="Arial" w:cs="Arial"/>
          <w:sz w:val="24"/>
          <w:szCs w:val="24"/>
        </w:rPr>
        <w:t xml:space="preserve"> sklopljen</w:t>
      </w:r>
      <w:r w:rsidR="00443F7A" w:rsidRPr="00443F7A">
        <w:rPr>
          <w:rFonts w:ascii="Arial" w:hAnsi="Arial" w:cs="Arial"/>
          <w:sz w:val="24"/>
          <w:szCs w:val="24"/>
        </w:rPr>
        <w:t>e</w:t>
      </w:r>
      <w:r w:rsidR="00244248" w:rsidRPr="00443F7A">
        <w:rPr>
          <w:rFonts w:ascii="Arial" w:hAnsi="Arial" w:cs="Arial"/>
          <w:sz w:val="24"/>
          <w:szCs w:val="24"/>
        </w:rPr>
        <w:t xml:space="preserve"> sljedeć</w:t>
      </w:r>
      <w:r w:rsidR="00443F7A" w:rsidRPr="00443F7A">
        <w:rPr>
          <w:rFonts w:ascii="Arial" w:hAnsi="Arial" w:cs="Arial"/>
          <w:sz w:val="24"/>
          <w:szCs w:val="24"/>
        </w:rPr>
        <w:t>e</w:t>
      </w:r>
      <w:r w:rsidR="00244248" w:rsidRPr="00443F7A">
        <w:rPr>
          <w:rFonts w:ascii="Arial" w:hAnsi="Arial" w:cs="Arial"/>
          <w:sz w:val="24"/>
          <w:szCs w:val="24"/>
        </w:rPr>
        <w:t xml:space="preserve"> ugovor</w:t>
      </w:r>
      <w:r w:rsidR="00443F7A" w:rsidRPr="00443F7A">
        <w:rPr>
          <w:rFonts w:ascii="Arial" w:hAnsi="Arial" w:cs="Arial"/>
          <w:sz w:val="24"/>
          <w:szCs w:val="24"/>
        </w:rPr>
        <w:t>e</w:t>
      </w:r>
      <w:r w:rsidR="00244248" w:rsidRPr="00443F7A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1709"/>
        <w:gridCol w:w="560"/>
        <w:gridCol w:w="4247"/>
      </w:tblGrid>
      <w:tr w:rsidR="00443F7A" w:rsidRPr="00443F7A" w14:paraId="1B5579E7" w14:textId="77777777" w:rsidTr="00591533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6BEA890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 xml:space="preserve">Zakup poslovnog prostora u vlasništvu Općine </w:t>
            </w:r>
            <w:r w:rsidR="00F46483" w:rsidRPr="00443F7A">
              <w:rPr>
                <w:rFonts w:ascii="Arial" w:hAnsi="Arial" w:cs="Arial"/>
                <w:b/>
              </w:rPr>
              <w:t>Sirač</w:t>
            </w:r>
          </w:p>
        </w:tc>
      </w:tr>
      <w:tr w:rsidR="00443F7A" w:rsidRPr="00443F7A" w14:paraId="5802CB07" w14:textId="77777777" w:rsidTr="00591533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9324160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Poslovni prostor općinske Uprave</w:t>
            </w:r>
          </w:p>
        </w:tc>
      </w:tr>
      <w:tr w:rsidR="00443F7A" w:rsidRPr="00443F7A" w14:paraId="477EA9A6" w14:textId="77777777" w:rsidTr="00591533">
        <w:trPr>
          <w:trHeight w:val="284"/>
        </w:trPr>
        <w:tc>
          <w:tcPr>
            <w:tcW w:w="1404" w:type="pct"/>
            <w:shd w:val="clear" w:color="auto" w:fill="EEECE1" w:themeFill="background2"/>
            <w:vAlign w:val="center"/>
          </w:tcPr>
          <w:p w14:paraId="7E33AC7F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Prostor</w:t>
            </w:r>
          </w:p>
        </w:tc>
        <w:tc>
          <w:tcPr>
            <w:tcW w:w="943" w:type="pct"/>
            <w:shd w:val="clear" w:color="auto" w:fill="EEECE1" w:themeFill="background2"/>
            <w:vAlign w:val="center"/>
          </w:tcPr>
          <w:p w14:paraId="1F6D85FD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  <w:w w:val="95"/>
              </w:rPr>
              <w:t>Površina u m²</w:t>
            </w:r>
          </w:p>
        </w:tc>
        <w:tc>
          <w:tcPr>
            <w:tcW w:w="2653" w:type="pct"/>
            <w:gridSpan w:val="2"/>
            <w:shd w:val="clear" w:color="auto" w:fill="EEECE1" w:themeFill="background2"/>
            <w:vAlign w:val="center"/>
          </w:tcPr>
          <w:p w14:paraId="47BA0C82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Namjena</w:t>
            </w:r>
          </w:p>
        </w:tc>
      </w:tr>
      <w:tr w:rsidR="00443F7A" w:rsidRPr="00443F7A" w14:paraId="2A6D6B0C" w14:textId="77777777" w:rsidTr="00905B0E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613F17A6" w14:textId="77777777" w:rsidR="006405B9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zgradi Općine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4C7B2D0C" w14:textId="77777777" w:rsidR="006405B9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31,00</w:t>
            </w:r>
            <w:r w:rsidR="00555AD0" w:rsidRPr="00443F7A">
              <w:rPr>
                <w:rFonts w:ascii="Arial" w:hAnsi="Arial" w:cs="Arial"/>
                <w:b/>
                <w:w w:val="95"/>
              </w:rPr>
              <w:t xml:space="preserve"> </w:t>
            </w:r>
            <w:r w:rsidR="00555AD0" w:rsidRPr="00443F7A">
              <w:rPr>
                <w:rFonts w:ascii="Arial" w:hAnsi="Arial" w:cs="Arial"/>
                <w:w w:val="95"/>
              </w:rPr>
              <w:t>m²</w:t>
            </w:r>
          </w:p>
        </w:tc>
        <w:tc>
          <w:tcPr>
            <w:tcW w:w="2653" w:type="pct"/>
            <w:gridSpan w:val="2"/>
            <w:shd w:val="clear" w:color="auto" w:fill="FFFFFF"/>
            <w:vAlign w:val="center"/>
          </w:tcPr>
          <w:p w14:paraId="2C7BF4DC" w14:textId="77777777" w:rsidR="006405B9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Hrvatska pošta</w:t>
            </w:r>
          </w:p>
        </w:tc>
      </w:tr>
      <w:tr w:rsidR="00443F7A" w:rsidRPr="00443F7A" w14:paraId="7C1A9A21" w14:textId="77777777" w:rsidTr="00905B0E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42B07E01" w14:textId="77777777" w:rsidR="00B82A8F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zgradi Općine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07DED39E" w14:textId="77777777" w:rsidR="00B82A8F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115,54</w:t>
            </w:r>
            <w:r w:rsidR="00555AD0" w:rsidRPr="00443F7A">
              <w:rPr>
                <w:rFonts w:ascii="Arial" w:hAnsi="Arial" w:cs="Arial"/>
                <w:b/>
                <w:w w:val="95"/>
              </w:rPr>
              <w:t xml:space="preserve"> </w:t>
            </w:r>
            <w:r w:rsidR="00555AD0" w:rsidRPr="00443F7A">
              <w:rPr>
                <w:rFonts w:ascii="Arial" w:hAnsi="Arial" w:cs="Arial"/>
                <w:w w:val="95"/>
              </w:rPr>
              <w:t>m²</w:t>
            </w:r>
          </w:p>
        </w:tc>
        <w:tc>
          <w:tcPr>
            <w:tcW w:w="2653" w:type="pct"/>
            <w:gridSpan w:val="2"/>
            <w:shd w:val="clear" w:color="auto" w:fill="FFFFFF"/>
            <w:vAlign w:val="center"/>
          </w:tcPr>
          <w:p w14:paraId="0A69136B" w14:textId="77777777" w:rsidR="00B82A8F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Dom zdravlja BBŽ za Dom zdravlja Sirač</w:t>
            </w:r>
          </w:p>
        </w:tc>
      </w:tr>
      <w:tr w:rsidR="00443F7A" w:rsidRPr="00443F7A" w14:paraId="586B68DC" w14:textId="77777777" w:rsidTr="00905B0E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2397CEEA" w14:textId="77777777" w:rsidR="00905B0E" w:rsidRPr="00443F7A" w:rsidRDefault="00905B0E" w:rsidP="00905B0E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zgradi Općine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11E9A247" w14:textId="77777777" w:rsidR="00905B0E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32,80</w:t>
            </w:r>
            <w:r w:rsidR="00555AD0" w:rsidRPr="00443F7A">
              <w:rPr>
                <w:rFonts w:ascii="Arial" w:hAnsi="Arial" w:cs="Arial"/>
                <w:b/>
                <w:w w:val="95"/>
              </w:rPr>
              <w:t xml:space="preserve"> </w:t>
            </w:r>
            <w:r w:rsidR="00555AD0" w:rsidRPr="00443F7A">
              <w:rPr>
                <w:rFonts w:ascii="Arial" w:hAnsi="Arial" w:cs="Arial"/>
                <w:w w:val="95"/>
              </w:rPr>
              <w:t>m²</w:t>
            </w:r>
          </w:p>
        </w:tc>
        <w:tc>
          <w:tcPr>
            <w:tcW w:w="2653" w:type="pct"/>
            <w:gridSpan w:val="2"/>
            <w:shd w:val="clear" w:color="auto" w:fill="FFFFFF"/>
            <w:vAlign w:val="center"/>
          </w:tcPr>
          <w:p w14:paraId="4B034B45" w14:textId="77777777" w:rsidR="00905B0E" w:rsidRPr="00443F7A" w:rsidRDefault="00905B0E" w:rsidP="00905B0E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Hrvatski telekom – za smještaj elektroničke komunikacijske infrastrukture</w:t>
            </w:r>
          </w:p>
        </w:tc>
      </w:tr>
      <w:tr w:rsidR="00443F7A" w:rsidRPr="00443F7A" w14:paraId="1C0AD04F" w14:textId="77777777" w:rsidTr="00591533">
        <w:trPr>
          <w:trHeight w:val="284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BA2B51C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Udruge</w:t>
            </w:r>
          </w:p>
        </w:tc>
      </w:tr>
      <w:tr w:rsidR="00443F7A" w:rsidRPr="00443F7A" w14:paraId="6B26E761" w14:textId="77777777" w:rsidTr="00DD1A33">
        <w:trPr>
          <w:trHeight w:val="284"/>
        </w:trPr>
        <w:tc>
          <w:tcPr>
            <w:tcW w:w="1404" w:type="pct"/>
            <w:shd w:val="clear" w:color="auto" w:fill="EEECE1" w:themeFill="background2"/>
            <w:vAlign w:val="center"/>
          </w:tcPr>
          <w:p w14:paraId="65E63812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Prostor</w:t>
            </w:r>
          </w:p>
        </w:tc>
        <w:tc>
          <w:tcPr>
            <w:tcW w:w="1252" w:type="pct"/>
            <w:gridSpan w:val="2"/>
            <w:shd w:val="clear" w:color="auto" w:fill="EEECE1" w:themeFill="background2"/>
            <w:vAlign w:val="center"/>
          </w:tcPr>
          <w:p w14:paraId="4C01EE6B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  <w:w w:val="95"/>
              </w:rPr>
              <w:t>Površina u m²</w:t>
            </w:r>
          </w:p>
        </w:tc>
        <w:tc>
          <w:tcPr>
            <w:tcW w:w="2344" w:type="pct"/>
            <w:shd w:val="clear" w:color="auto" w:fill="EEECE1" w:themeFill="background2"/>
            <w:vAlign w:val="center"/>
          </w:tcPr>
          <w:p w14:paraId="01245D96" w14:textId="77777777" w:rsidR="006405B9" w:rsidRPr="00443F7A" w:rsidRDefault="006405B9" w:rsidP="0090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443F7A">
              <w:rPr>
                <w:rFonts w:ascii="Arial" w:hAnsi="Arial" w:cs="Arial"/>
                <w:b/>
              </w:rPr>
              <w:t>Namjena</w:t>
            </w:r>
          </w:p>
        </w:tc>
      </w:tr>
      <w:tr w:rsidR="00443F7A" w:rsidRPr="00443F7A" w14:paraId="2B2E9B49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4E8774AA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nogometnog igrališta i svlačionice Lanara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3D938FE0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65.138</w:t>
            </w:r>
            <w:r w:rsidRPr="00443F7A">
              <w:rPr>
                <w:rFonts w:ascii="Arial" w:hAnsi="Arial" w:cs="Arial"/>
                <w:b/>
                <w:w w:val="95"/>
              </w:rPr>
              <w:t xml:space="preserve"> </w:t>
            </w:r>
            <w:r w:rsidRPr="00443F7A">
              <w:rPr>
                <w:rFonts w:ascii="Arial" w:hAnsi="Arial" w:cs="Arial"/>
                <w:w w:val="95"/>
              </w:rPr>
              <w:t>m²</w:t>
            </w:r>
          </w:p>
          <w:p w14:paraId="6103505A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 xml:space="preserve">182.93 </w:t>
            </w:r>
            <w:r w:rsidRPr="00443F7A">
              <w:rPr>
                <w:rFonts w:ascii="Arial" w:hAnsi="Arial" w:cs="Arial"/>
                <w:w w:val="95"/>
              </w:rPr>
              <w:t>m² (svlačionice)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572E6D94" w14:textId="77777777" w:rsidR="00555AD0" w:rsidRPr="00443F7A" w:rsidRDefault="00555AD0" w:rsidP="002F2429">
            <w:pPr>
              <w:pStyle w:val="TableParagraph"/>
              <w:spacing w:line="283" w:lineRule="auto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Nogometni klub „Kamen“ Sirač</w:t>
            </w:r>
          </w:p>
        </w:tc>
      </w:tr>
      <w:tr w:rsidR="00443F7A" w:rsidRPr="00443F7A" w14:paraId="36480F1E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3608152A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stambenoj zgradi u Siraču, S. Radića 118 (podrum)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6F20B755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 xml:space="preserve">62,86 </w:t>
            </w:r>
            <w:r w:rsidRPr="00443F7A">
              <w:rPr>
                <w:rFonts w:ascii="Arial" w:hAnsi="Arial" w:cs="Arial"/>
                <w:w w:val="95"/>
              </w:rPr>
              <w:t>m²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5526383B" w14:textId="77777777" w:rsidR="00555AD0" w:rsidRPr="00443F7A" w:rsidRDefault="00555AD0" w:rsidP="002F24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>UHDDR-a (Udruga hrvatskih dragovoljaca domovinskog rata)</w:t>
            </w:r>
          </w:p>
        </w:tc>
      </w:tr>
      <w:tr w:rsidR="00443F7A" w:rsidRPr="00443F7A" w14:paraId="78CFADAD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27985583" w14:textId="3CB3B9D8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zgradi Općine (streljana</w:t>
            </w:r>
            <w:r w:rsidR="00DD1A33" w:rsidRPr="00443F7A">
              <w:rPr>
                <w:rFonts w:ascii="Arial" w:eastAsia="Times New Roman" w:hAnsi="Arial" w:cs="Arial"/>
              </w:rPr>
              <w:t xml:space="preserve"> i stan Blažević</w:t>
            </w:r>
            <w:r w:rsidRPr="00443F7A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10CC3E45" w14:textId="19F5EBC5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  <w:w w:val="95"/>
              </w:rPr>
            </w:pPr>
            <w:r w:rsidRPr="00443F7A">
              <w:rPr>
                <w:rFonts w:ascii="Arial" w:hAnsi="Arial" w:cs="Arial"/>
              </w:rPr>
              <w:t>1</w:t>
            </w:r>
            <w:r w:rsidR="00DD1A33" w:rsidRPr="00443F7A">
              <w:rPr>
                <w:rFonts w:ascii="Arial" w:hAnsi="Arial" w:cs="Arial"/>
              </w:rPr>
              <w:t>2</w:t>
            </w:r>
            <w:r w:rsidRPr="00443F7A">
              <w:rPr>
                <w:rFonts w:ascii="Arial" w:hAnsi="Arial" w:cs="Arial"/>
              </w:rPr>
              <w:t xml:space="preserve">5,00 </w:t>
            </w:r>
            <w:r w:rsidRPr="00443F7A">
              <w:rPr>
                <w:rFonts w:ascii="Arial" w:hAnsi="Arial" w:cs="Arial"/>
                <w:w w:val="95"/>
              </w:rPr>
              <w:t>m²</w:t>
            </w:r>
            <w:r w:rsidR="00DD1A33" w:rsidRPr="00443F7A">
              <w:rPr>
                <w:rFonts w:ascii="Arial" w:hAnsi="Arial" w:cs="Arial"/>
                <w:w w:val="95"/>
              </w:rPr>
              <w:t xml:space="preserve"> (streljana)</w:t>
            </w:r>
          </w:p>
          <w:p w14:paraId="06B42A0A" w14:textId="77777777" w:rsidR="00DD1A33" w:rsidRPr="00443F7A" w:rsidRDefault="00DD1A33" w:rsidP="002F2429">
            <w:pPr>
              <w:pStyle w:val="TableParagraph"/>
              <w:jc w:val="center"/>
              <w:rPr>
                <w:rFonts w:ascii="Arial" w:hAnsi="Arial" w:cs="Arial"/>
                <w:vertAlign w:val="superscript"/>
              </w:rPr>
            </w:pPr>
            <w:r w:rsidRPr="00443F7A">
              <w:rPr>
                <w:rFonts w:ascii="Arial" w:hAnsi="Arial" w:cs="Arial"/>
              </w:rPr>
              <w:t>38,29 m</w:t>
            </w:r>
            <w:r w:rsidRPr="00443F7A">
              <w:rPr>
                <w:rFonts w:ascii="Arial" w:hAnsi="Arial" w:cs="Arial"/>
                <w:vertAlign w:val="superscript"/>
              </w:rPr>
              <w:t>2</w:t>
            </w:r>
          </w:p>
          <w:p w14:paraId="1A155C22" w14:textId="2D57F9AC" w:rsidR="00DD1A33" w:rsidRPr="00443F7A" w:rsidRDefault="00DD1A33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(stan Blažević)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407C3A26" w14:textId="77777777" w:rsidR="00555AD0" w:rsidRPr="00443F7A" w:rsidRDefault="00555AD0" w:rsidP="002F242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>Streljačko društvo „Pobjeda" Sirač</w:t>
            </w:r>
          </w:p>
        </w:tc>
      </w:tr>
      <w:tr w:rsidR="00443F7A" w:rsidRPr="00443F7A" w14:paraId="53D56E85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5246B8F0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Hrvatskom domu Sirač (</w:t>
            </w:r>
            <w:proofErr w:type="spellStart"/>
            <w:r w:rsidRPr="00443F7A">
              <w:rPr>
                <w:rFonts w:ascii="Arial" w:eastAsia="Times New Roman" w:hAnsi="Arial" w:cs="Arial"/>
              </w:rPr>
              <w:t>Pakra</w:t>
            </w:r>
            <w:proofErr w:type="spellEnd"/>
            <w:r w:rsidRPr="00443F7A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7E31A906" w14:textId="77777777" w:rsidR="00555AD0" w:rsidRPr="00443F7A" w:rsidRDefault="00555AD0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 xml:space="preserve">155,37 </w:t>
            </w:r>
            <w:r w:rsidRPr="00443F7A">
              <w:rPr>
                <w:rFonts w:ascii="Arial" w:hAnsi="Arial" w:cs="Arial"/>
                <w:w w:val="95"/>
              </w:rPr>
              <w:t>m²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522E4337" w14:textId="77777777" w:rsidR="00555AD0" w:rsidRPr="00443F7A" w:rsidRDefault="00555AD0" w:rsidP="002F242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>Kulturno umjetničko društvo „Kamen" Sirač</w:t>
            </w:r>
          </w:p>
        </w:tc>
      </w:tr>
      <w:tr w:rsidR="00443F7A" w:rsidRPr="00443F7A" w14:paraId="7E342FF7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1CA9F04A" w14:textId="77777777" w:rsidR="00DD1A33" w:rsidRPr="00443F7A" w:rsidRDefault="00DD1A33" w:rsidP="002F2429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Hrvatskom domu Sirač</w:t>
            </w:r>
          </w:p>
          <w:p w14:paraId="1369B56D" w14:textId="4120A6C0" w:rsidR="00DD1A33" w:rsidRPr="00443F7A" w:rsidRDefault="00DD1A33" w:rsidP="002F2429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 xml:space="preserve"> (prostor udruga)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5961D17D" w14:textId="017CBCE5" w:rsidR="00DD1A33" w:rsidRPr="00443F7A" w:rsidRDefault="00DD1A33" w:rsidP="002F2429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16,69 m</w:t>
            </w:r>
            <w:r w:rsidRPr="00443F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18AE9FC6" w14:textId="4132A080" w:rsidR="00DD1A33" w:rsidRPr="00443F7A" w:rsidRDefault="00DD1A33" w:rsidP="002F242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 xml:space="preserve">Matica umirovljenika Općine Sirač </w:t>
            </w:r>
          </w:p>
        </w:tc>
      </w:tr>
      <w:tr w:rsidR="00443F7A" w:rsidRPr="00443F7A" w14:paraId="12DE7CBA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30BCC9AA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Hrvatskom domu Sirač</w:t>
            </w:r>
          </w:p>
          <w:p w14:paraId="76DA11B6" w14:textId="55915D8B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 xml:space="preserve"> (prostor udruga)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26E661D3" w14:textId="001C3A09" w:rsidR="00DD1A33" w:rsidRPr="00443F7A" w:rsidRDefault="00DD1A33" w:rsidP="00DD1A33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14,53 m</w:t>
            </w:r>
            <w:r w:rsidRPr="00443F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6F43B0B2" w14:textId="24001BF0" w:rsidR="00DD1A33" w:rsidRPr="00443F7A" w:rsidRDefault="00DD1A33" w:rsidP="00DD1A3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 xml:space="preserve">Športsko ribolovno društvo "Pastrva" Sirač </w:t>
            </w:r>
          </w:p>
        </w:tc>
      </w:tr>
      <w:tr w:rsidR="00443F7A" w:rsidRPr="00443F7A" w14:paraId="0150B4EF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62690F33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Hrvatskom domu Sirač</w:t>
            </w:r>
          </w:p>
          <w:p w14:paraId="01BAED49" w14:textId="7378FCAD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 xml:space="preserve"> (prostor udruga)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7B2DCD8D" w14:textId="4A2A4D96" w:rsidR="00DD1A33" w:rsidRPr="00443F7A" w:rsidRDefault="00AE56F2" w:rsidP="00DD1A33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14,51 m</w:t>
            </w:r>
            <w:r w:rsidRPr="00443F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273397BB" w14:textId="24F6FEB4" w:rsidR="00DD1A33" w:rsidRPr="00443F7A" w:rsidRDefault="00DD1A33" w:rsidP="00DD1A3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 xml:space="preserve">Udruga Nijemaca i Austrijanaca Sirač </w:t>
            </w:r>
          </w:p>
        </w:tc>
      </w:tr>
      <w:tr w:rsidR="00443F7A" w:rsidRPr="00443F7A" w14:paraId="12182153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29AEA17B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 xml:space="preserve">Prostor u Društvenom domu </w:t>
            </w:r>
            <w:proofErr w:type="spellStart"/>
            <w:r w:rsidRPr="00443F7A">
              <w:rPr>
                <w:rFonts w:ascii="Arial" w:eastAsia="Times New Roman" w:hAnsi="Arial" w:cs="Arial"/>
              </w:rPr>
              <w:t>Šibovac</w:t>
            </w:r>
            <w:proofErr w:type="spellEnd"/>
          </w:p>
          <w:p w14:paraId="77D734EA" w14:textId="3CD86653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(ostava u suterenu zgrade)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1615E554" w14:textId="3D07FC51" w:rsidR="00DD1A33" w:rsidRPr="00443F7A" w:rsidRDefault="00DD1A33" w:rsidP="00DD1A33">
            <w:pPr>
              <w:pStyle w:val="TableParagraph"/>
              <w:jc w:val="center"/>
              <w:rPr>
                <w:rFonts w:ascii="Arial" w:hAnsi="Arial" w:cs="Arial"/>
              </w:rPr>
            </w:pPr>
            <w:r w:rsidRPr="00443F7A">
              <w:rPr>
                <w:rFonts w:ascii="Arial" w:hAnsi="Arial" w:cs="Arial"/>
              </w:rPr>
              <w:t>24,23 m</w:t>
            </w:r>
            <w:r w:rsidRPr="00443F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610B85C8" w14:textId="59AD4EDB" w:rsidR="00DD1A33" w:rsidRPr="00443F7A" w:rsidRDefault="00DD1A33" w:rsidP="00DD1A3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 xml:space="preserve">Češka </w:t>
            </w:r>
            <w:proofErr w:type="spellStart"/>
            <w:r w:rsidRPr="00443F7A">
              <w:rPr>
                <w:rFonts w:ascii="Arial" w:eastAsia="Times New Roman" w:hAnsi="Arial" w:cs="Arial"/>
                <w:lang w:eastAsia="hr-HR"/>
              </w:rPr>
              <w:t>beseda</w:t>
            </w:r>
            <w:proofErr w:type="spellEnd"/>
            <w:r w:rsidRPr="00443F7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43F7A">
              <w:rPr>
                <w:rFonts w:ascii="Arial" w:eastAsia="Times New Roman" w:hAnsi="Arial" w:cs="Arial"/>
                <w:lang w:eastAsia="hr-HR"/>
              </w:rPr>
              <w:t>Šibovac</w:t>
            </w:r>
            <w:proofErr w:type="spellEnd"/>
          </w:p>
        </w:tc>
      </w:tr>
      <w:tr w:rsidR="00443F7A" w:rsidRPr="00443F7A" w14:paraId="3A78B9CB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3DFDC07B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 xml:space="preserve">Prostor u Hrvatskom domu Sirač, kč.br. 103/1 k.o. Sirač 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4ACDF232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hAnsi="Arial" w:cs="Arial"/>
                <w:w w:val="95"/>
              </w:rPr>
            </w:pPr>
            <w:r w:rsidRPr="00443F7A">
              <w:rPr>
                <w:rFonts w:ascii="Arial" w:eastAsia="Times New Roman" w:hAnsi="Arial" w:cs="Arial"/>
              </w:rPr>
              <w:t>E-1 67,02</w:t>
            </w:r>
            <w:r w:rsidRPr="00443F7A">
              <w:rPr>
                <w:rFonts w:ascii="Arial" w:hAnsi="Arial" w:cs="Arial"/>
                <w:w w:val="95"/>
              </w:rPr>
              <w:t xml:space="preserve"> m²</w:t>
            </w:r>
          </w:p>
          <w:p w14:paraId="4D05DF63" w14:textId="77777777" w:rsidR="00DD1A33" w:rsidRPr="00443F7A" w:rsidRDefault="00DD1A33" w:rsidP="00DD1A33">
            <w:pPr>
              <w:pStyle w:val="TableParagraph"/>
              <w:rPr>
                <w:rFonts w:ascii="Arial" w:hAnsi="Arial" w:cs="Arial"/>
                <w:w w:val="95"/>
              </w:rPr>
            </w:pPr>
            <w:r w:rsidRPr="00443F7A">
              <w:rPr>
                <w:rFonts w:ascii="Arial" w:eastAsia="Times New Roman" w:hAnsi="Arial" w:cs="Arial"/>
              </w:rPr>
              <w:t xml:space="preserve">     E-2 342,39 </w:t>
            </w:r>
            <w:r w:rsidRPr="00443F7A">
              <w:rPr>
                <w:rFonts w:ascii="Arial" w:hAnsi="Arial" w:cs="Arial"/>
                <w:w w:val="95"/>
              </w:rPr>
              <w:t>m²</w:t>
            </w:r>
          </w:p>
          <w:p w14:paraId="344D948D" w14:textId="6E9549C8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  <w:vertAlign w:val="superscript"/>
              </w:rPr>
            </w:pPr>
            <w:proofErr w:type="spellStart"/>
            <w:r w:rsidRPr="00443F7A">
              <w:rPr>
                <w:rFonts w:ascii="Arial" w:eastAsia="Times New Roman" w:hAnsi="Arial" w:cs="Arial"/>
              </w:rPr>
              <w:t>nadstr</w:t>
            </w:r>
            <w:proofErr w:type="spellEnd"/>
            <w:r w:rsidRPr="00443F7A">
              <w:rPr>
                <w:rFonts w:ascii="Arial" w:eastAsia="Times New Roman" w:hAnsi="Arial" w:cs="Arial"/>
              </w:rPr>
              <w:t>. 118m</w:t>
            </w:r>
            <w:r w:rsidRPr="00443F7A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14:paraId="59D134E4" w14:textId="5A36E3F1" w:rsidR="00DD1A33" w:rsidRPr="00443F7A" w:rsidRDefault="00DD1A33" w:rsidP="00DD1A33">
            <w:pPr>
              <w:pStyle w:val="TableParagraph"/>
              <w:rPr>
                <w:rFonts w:ascii="Arial" w:hAnsi="Arial" w:cs="Arial"/>
                <w:w w:val="95"/>
                <w:vertAlign w:val="superscript"/>
              </w:rPr>
            </w:pPr>
            <w:r w:rsidRPr="00443F7A">
              <w:rPr>
                <w:rFonts w:ascii="Arial" w:eastAsia="Times New Roman" w:hAnsi="Arial" w:cs="Arial"/>
              </w:rPr>
              <w:t xml:space="preserve">    spremište 57m</w:t>
            </w:r>
            <w:r w:rsidRPr="00443F7A">
              <w:rPr>
                <w:rFonts w:ascii="Arial" w:hAnsi="Arial" w:cs="Arial"/>
                <w:w w:val="95"/>
              </w:rPr>
              <w:t>²</w:t>
            </w:r>
          </w:p>
        </w:tc>
        <w:tc>
          <w:tcPr>
            <w:tcW w:w="2344" w:type="pct"/>
            <w:vMerge w:val="restart"/>
            <w:shd w:val="clear" w:color="auto" w:fill="FFFFFF"/>
            <w:vAlign w:val="center"/>
          </w:tcPr>
          <w:p w14:paraId="49E6E8AB" w14:textId="5625E3E5" w:rsidR="00DD1A33" w:rsidRPr="00443F7A" w:rsidRDefault="00DD1A33" w:rsidP="00DD1A3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443F7A">
              <w:rPr>
                <w:rFonts w:ascii="Arial" w:eastAsia="Times New Roman" w:hAnsi="Arial" w:cs="Arial"/>
                <w:lang w:eastAsia="hr-HR"/>
              </w:rPr>
              <w:t xml:space="preserve">Javna ustanova KOMUS SIRAČ  </w:t>
            </w:r>
          </w:p>
        </w:tc>
      </w:tr>
      <w:tr w:rsidR="00443F7A" w:rsidRPr="00443F7A" w14:paraId="6A38EF63" w14:textId="77777777" w:rsidTr="00DD1A33">
        <w:trPr>
          <w:trHeight w:val="284"/>
        </w:trPr>
        <w:tc>
          <w:tcPr>
            <w:tcW w:w="1404" w:type="pct"/>
            <w:shd w:val="clear" w:color="auto" w:fill="FFFFFF"/>
            <w:vAlign w:val="center"/>
          </w:tcPr>
          <w:p w14:paraId="447C7A23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Prostor u zgradi Općine Sirač (prostor nekadašnjeg matičnog ureda)</w:t>
            </w:r>
          </w:p>
        </w:tc>
        <w:tc>
          <w:tcPr>
            <w:tcW w:w="1252" w:type="pct"/>
            <w:gridSpan w:val="2"/>
            <w:shd w:val="clear" w:color="auto" w:fill="FFFFFF"/>
            <w:vAlign w:val="center"/>
          </w:tcPr>
          <w:p w14:paraId="76665EF0" w14:textId="77777777" w:rsidR="00DD1A33" w:rsidRPr="00443F7A" w:rsidRDefault="00DD1A33" w:rsidP="00DD1A33">
            <w:pPr>
              <w:pStyle w:val="TableParagraph"/>
              <w:jc w:val="center"/>
              <w:rPr>
                <w:rFonts w:ascii="Arial" w:eastAsia="Times New Roman" w:hAnsi="Arial" w:cs="Arial"/>
              </w:rPr>
            </w:pPr>
            <w:r w:rsidRPr="00443F7A">
              <w:rPr>
                <w:rFonts w:ascii="Arial" w:eastAsia="Times New Roman" w:hAnsi="Arial" w:cs="Arial"/>
              </w:rPr>
              <w:t>51,66</w:t>
            </w:r>
            <w:r w:rsidRPr="00443F7A">
              <w:rPr>
                <w:rFonts w:ascii="Arial" w:hAnsi="Arial" w:cs="Arial"/>
                <w:w w:val="95"/>
              </w:rPr>
              <w:t xml:space="preserve"> m²</w:t>
            </w:r>
          </w:p>
        </w:tc>
        <w:tc>
          <w:tcPr>
            <w:tcW w:w="2344" w:type="pct"/>
            <w:vMerge/>
            <w:shd w:val="clear" w:color="auto" w:fill="FFFFFF"/>
            <w:vAlign w:val="center"/>
          </w:tcPr>
          <w:p w14:paraId="50550F4D" w14:textId="77777777" w:rsidR="00DD1A33" w:rsidRPr="00443F7A" w:rsidRDefault="00DD1A33" w:rsidP="00DD1A3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A09A47C" w14:textId="057ADAAE" w:rsidR="00180371" w:rsidRDefault="004228CF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4" w:name="_Toc150347718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 w:rsidR="00A57266"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UPRAVLJANJA I RASPOLAGANJA GRAĐEVINSKIM ZEMLJIŠTEM U VLASNIŠTVU OPĆINE </w:t>
      </w:r>
      <w:r w:rsidR="00F46483">
        <w:rPr>
          <w:rFonts w:ascii="Arial" w:hAnsi="Arial" w:cs="Arial"/>
          <w:color w:val="auto"/>
        </w:rPr>
        <w:t>SIRAČ</w:t>
      </w:r>
      <w:bookmarkEnd w:id="4"/>
    </w:p>
    <w:p w14:paraId="6083DD48" w14:textId="457441AE" w:rsidR="00D04EEF" w:rsidRDefault="00B64328" w:rsidP="00B64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4139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  <w:r w:rsidR="00D04EEF">
        <w:rPr>
          <w:rFonts w:ascii="Arial" w:hAnsi="Arial" w:cs="Arial"/>
          <w:sz w:val="24"/>
          <w:szCs w:val="24"/>
        </w:rPr>
        <w:t>, po zaprimljenim zahtjevima, Općinsko vijeće Općine Sirač donijelo je Odluke o prodaji sljedećih nekretnina:</w:t>
      </w:r>
    </w:p>
    <w:p w14:paraId="1452E7BC" w14:textId="0CE31A6D" w:rsidR="00D04EEF" w:rsidRDefault="00D04EEF" w:rsidP="00D04EEF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D04EEF">
        <w:rPr>
          <w:rFonts w:ascii="Arial" w:hAnsi="Arial" w:cs="Arial"/>
          <w:sz w:val="24"/>
          <w:szCs w:val="24"/>
        </w:rPr>
        <w:t>k.č.br. 2169/1 šuma Lugovi površine 724 m2</w:t>
      </w:r>
      <w:r>
        <w:rPr>
          <w:rFonts w:ascii="Arial" w:hAnsi="Arial" w:cs="Arial"/>
          <w:sz w:val="24"/>
          <w:szCs w:val="24"/>
        </w:rPr>
        <w:t xml:space="preserve"> upisana u zk.ul.br. 2073 k.o. Sirač</w:t>
      </w:r>
      <w:r w:rsidRPr="00D04EEF">
        <w:rPr>
          <w:rFonts w:ascii="Arial" w:hAnsi="Arial" w:cs="Arial"/>
          <w:sz w:val="24"/>
          <w:szCs w:val="24"/>
        </w:rPr>
        <w:t xml:space="preserve"> </w:t>
      </w:r>
    </w:p>
    <w:p w14:paraId="3968ABF5" w14:textId="743C623D" w:rsidR="00D04EEF" w:rsidRPr="00D04EEF" w:rsidRDefault="00D04EEF" w:rsidP="00D04EEF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D04EEF">
        <w:rPr>
          <w:rFonts w:ascii="Arial" w:hAnsi="Arial" w:cs="Arial"/>
          <w:sz w:val="24"/>
          <w:szCs w:val="24"/>
        </w:rPr>
        <w:t xml:space="preserve">k.č.br. </w:t>
      </w:r>
      <w:r>
        <w:rPr>
          <w:rFonts w:ascii="Arial" w:hAnsi="Arial" w:cs="Arial"/>
          <w:sz w:val="24"/>
          <w:szCs w:val="24"/>
        </w:rPr>
        <w:t xml:space="preserve">2012 </w:t>
      </w:r>
      <w:proofErr w:type="spellStart"/>
      <w:r>
        <w:rPr>
          <w:rFonts w:ascii="Arial" w:hAnsi="Arial" w:cs="Arial"/>
          <w:sz w:val="24"/>
          <w:szCs w:val="24"/>
        </w:rPr>
        <w:t>Oraško</w:t>
      </w:r>
      <w:proofErr w:type="spellEnd"/>
      <w:r>
        <w:rPr>
          <w:rFonts w:ascii="Arial" w:hAnsi="Arial" w:cs="Arial"/>
          <w:sz w:val="24"/>
          <w:szCs w:val="24"/>
        </w:rPr>
        <w:t xml:space="preserve"> Polje oranica</w:t>
      </w:r>
      <w:r w:rsidRPr="00D04EEF">
        <w:rPr>
          <w:rFonts w:ascii="Arial" w:hAnsi="Arial" w:cs="Arial"/>
          <w:sz w:val="24"/>
          <w:szCs w:val="24"/>
        </w:rPr>
        <w:t xml:space="preserve"> površine </w:t>
      </w:r>
      <w:r>
        <w:rPr>
          <w:rFonts w:ascii="Arial" w:hAnsi="Arial" w:cs="Arial"/>
          <w:sz w:val="24"/>
          <w:szCs w:val="24"/>
        </w:rPr>
        <w:t>2448</w:t>
      </w:r>
      <w:r w:rsidRPr="00D04EEF">
        <w:rPr>
          <w:rFonts w:ascii="Arial" w:hAnsi="Arial" w:cs="Arial"/>
          <w:sz w:val="24"/>
          <w:szCs w:val="24"/>
        </w:rPr>
        <w:t xml:space="preserve"> m2</w:t>
      </w:r>
      <w:r>
        <w:rPr>
          <w:rFonts w:ascii="Arial" w:hAnsi="Arial" w:cs="Arial"/>
          <w:sz w:val="24"/>
          <w:szCs w:val="24"/>
        </w:rPr>
        <w:t xml:space="preserve"> upisana u zk.ul.br. </w:t>
      </w:r>
      <w:r>
        <w:rPr>
          <w:rFonts w:ascii="Arial" w:hAnsi="Arial" w:cs="Arial"/>
          <w:sz w:val="24"/>
          <w:szCs w:val="24"/>
        </w:rPr>
        <w:t>785</w:t>
      </w:r>
      <w:r>
        <w:rPr>
          <w:rFonts w:ascii="Arial" w:hAnsi="Arial" w:cs="Arial"/>
          <w:sz w:val="24"/>
          <w:szCs w:val="24"/>
        </w:rPr>
        <w:t xml:space="preserve"> k.o. Sirač</w:t>
      </w:r>
      <w:r w:rsidRPr="00D04EEF">
        <w:rPr>
          <w:rFonts w:ascii="Arial" w:hAnsi="Arial" w:cs="Arial"/>
          <w:sz w:val="24"/>
          <w:szCs w:val="24"/>
        </w:rPr>
        <w:t xml:space="preserve"> </w:t>
      </w:r>
    </w:p>
    <w:p w14:paraId="3C292FE3" w14:textId="77777777" w:rsidR="00D04EEF" w:rsidRDefault="00D04EEF" w:rsidP="00D04EEF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D04EEF">
        <w:rPr>
          <w:rFonts w:ascii="Arial" w:hAnsi="Arial" w:cs="Arial"/>
          <w:sz w:val="24"/>
          <w:szCs w:val="24"/>
        </w:rPr>
        <w:t xml:space="preserve">k.č.br. </w:t>
      </w:r>
      <w:r>
        <w:rPr>
          <w:rFonts w:ascii="Arial" w:hAnsi="Arial" w:cs="Arial"/>
          <w:sz w:val="24"/>
          <w:szCs w:val="24"/>
        </w:rPr>
        <w:t>1064/1</w:t>
      </w:r>
      <w:r w:rsidRPr="00D04EE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Pakrani</w:t>
      </w:r>
      <w:proofErr w:type="spellEnd"/>
      <w:r>
        <w:rPr>
          <w:rFonts w:ascii="Arial" w:hAnsi="Arial" w:cs="Arial"/>
          <w:sz w:val="24"/>
          <w:szCs w:val="24"/>
        </w:rPr>
        <w:t xml:space="preserve"> oranica</w:t>
      </w:r>
      <w:r w:rsidRPr="00D04EEF">
        <w:rPr>
          <w:rFonts w:ascii="Arial" w:hAnsi="Arial" w:cs="Arial"/>
          <w:sz w:val="24"/>
          <w:szCs w:val="24"/>
        </w:rPr>
        <w:t xml:space="preserve"> površine </w:t>
      </w:r>
      <w:r>
        <w:rPr>
          <w:rFonts w:ascii="Arial" w:hAnsi="Arial" w:cs="Arial"/>
          <w:sz w:val="24"/>
          <w:szCs w:val="24"/>
        </w:rPr>
        <w:t>1378</w:t>
      </w:r>
      <w:r w:rsidRPr="00D04EEF">
        <w:rPr>
          <w:rFonts w:ascii="Arial" w:hAnsi="Arial" w:cs="Arial"/>
          <w:sz w:val="24"/>
          <w:szCs w:val="24"/>
        </w:rPr>
        <w:t xml:space="preserve"> m2</w:t>
      </w:r>
      <w:r>
        <w:rPr>
          <w:rFonts w:ascii="Arial" w:hAnsi="Arial" w:cs="Arial"/>
          <w:sz w:val="24"/>
          <w:szCs w:val="24"/>
        </w:rPr>
        <w:t xml:space="preserve"> upisana u zk.ul.br. </w:t>
      </w:r>
      <w:r>
        <w:rPr>
          <w:rFonts w:ascii="Arial" w:hAnsi="Arial" w:cs="Arial"/>
          <w:sz w:val="24"/>
          <w:szCs w:val="24"/>
        </w:rPr>
        <w:t>1165</w:t>
      </w:r>
      <w:r>
        <w:rPr>
          <w:rFonts w:ascii="Arial" w:hAnsi="Arial" w:cs="Arial"/>
          <w:sz w:val="24"/>
          <w:szCs w:val="24"/>
        </w:rPr>
        <w:t xml:space="preserve"> k.o. </w:t>
      </w:r>
      <w:proofErr w:type="spellStart"/>
      <w:r>
        <w:rPr>
          <w:rFonts w:ascii="Arial" w:hAnsi="Arial" w:cs="Arial"/>
          <w:sz w:val="24"/>
          <w:szCs w:val="24"/>
        </w:rPr>
        <w:t>Pakrani</w:t>
      </w:r>
      <w:proofErr w:type="spellEnd"/>
    </w:p>
    <w:p w14:paraId="131EDFEC" w14:textId="639308DC" w:rsidR="00D04EEF" w:rsidRPr="00D04EEF" w:rsidRDefault="00D04EEF" w:rsidP="00D04EEF">
      <w:pPr>
        <w:pStyle w:val="Odlomakpopis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D04EEF">
        <w:rPr>
          <w:rFonts w:ascii="Arial" w:hAnsi="Arial" w:cs="Arial"/>
          <w:sz w:val="24"/>
          <w:szCs w:val="24"/>
        </w:rPr>
        <w:t xml:space="preserve">k.č.br. </w:t>
      </w:r>
      <w:r>
        <w:rPr>
          <w:rFonts w:ascii="Arial" w:hAnsi="Arial" w:cs="Arial"/>
          <w:sz w:val="24"/>
          <w:szCs w:val="24"/>
        </w:rPr>
        <w:t>966/1</w:t>
      </w:r>
      <w:r w:rsidRPr="00D04E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Ruđera Boškovića dvorište </w:t>
      </w:r>
      <w:r w:rsidRPr="00D04EEF">
        <w:rPr>
          <w:rFonts w:ascii="Arial" w:hAnsi="Arial" w:cs="Arial"/>
          <w:sz w:val="24"/>
          <w:szCs w:val="24"/>
        </w:rPr>
        <w:t xml:space="preserve">površine </w:t>
      </w:r>
      <w:r>
        <w:rPr>
          <w:rFonts w:ascii="Arial" w:hAnsi="Arial" w:cs="Arial"/>
          <w:sz w:val="24"/>
          <w:szCs w:val="24"/>
        </w:rPr>
        <w:t>268</w:t>
      </w:r>
      <w:r w:rsidRPr="00D04EEF">
        <w:rPr>
          <w:rFonts w:ascii="Arial" w:hAnsi="Arial" w:cs="Arial"/>
          <w:sz w:val="24"/>
          <w:szCs w:val="24"/>
        </w:rPr>
        <w:t xml:space="preserve"> m2</w:t>
      </w:r>
      <w:r>
        <w:rPr>
          <w:rFonts w:ascii="Arial" w:hAnsi="Arial" w:cs="Arial"/>
          <w:sz w:val="24"/>
          <w:szCs w:val="24"/>
        </w:rPr>
        <w:t xml:space="preserve"> upisana u zk.ul.br. </w:t>
      </w:r>
      <w:r>
        <w:rPr>
          <w:rFonts w:ascii="Arial" w:hAnsi="Arial" w:cs="Arial"/>
          <w:sz w:val="24"/>
          <w:szCs w:val="24"/>
        </w:rPr>
        <w:t>1175</w:t>
      </w:r>
      <w:r>
        <w:rPr>
          <w:rFonts w:ascii="Arial" w:hAnsi="Arial" w:cs="Arial"/>
          <w:sz w:val="24"/>
          <w:szCs w:val="24"/>
        </w:rPr>
        <w:t xml:space="preserve"> k.o. </w:t>
      </w:r>
      <w:proofErr w:type="spellStart"/>
      <w:r>
        <w:rPr>
          <w:rFonts w:ascii="Arial" w:hAnsi="Arial" w:cs="Arial"/>
          <w:sz w:val="24"/>
          <w:szCs w:val="24"/>
        </w:rPr>
        <w:t>Pakrani</w:t>
      </w:r>
      <w:proofErr w:type="spellEnd"/>
      <w:r w:rsidRPr="00D04EEF">
        <w:rPr>
          <w:rFonts w:ascii="Arial" w:hAnsi="Arial" w:cs="Arial"/>
          <w:sz w:val="24"/>
          <w:szCs w:val="24"/>
        </w:rPr>
        <w:t xml:space="preserve"> </w:t>
      </w:r>
    </w:p>
    <w:p w14:paraId="750633D4" w14:textId="5FD7EEC9" w:rsidR="007B45D3" w:rsidRDefault="007B45D3" w:rsidP="007B4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donošenju Odluka o prodaji izradili su se Procjembeni elaborati i isti su </w:t>
      </w:r>
      <w:r w:rsidRPr="007B45D3">
        <w:rPr>
          <w:rFonts w:ascii="Arial" w:hAnsi="Arial" w:cs="Arial"/>
          <w:sz w:val="24"/>
          <w:szCs w:val="24"/>
        </w:rPr>
        <w:t>slijedom odredbi članka 12. stavka 1. Zakona o procjeni vrijednosti nekretnina (»Narodne novine, broj 78/2015)</w:t>
      </w:r>
      <w:r>
        <w:rPr>
          <w:rFonts w:ascii="Arial" w:hAnsi="Arial" w:cs="Arial"/>
          <w:sz w:val="24"/>
          <w:szCs w:val="24"/>
        </w:rPr>
        <w:t xml:space="preserve"> upućeni Procjeniteljskom povjerenstvu Bjelovarsko-bilogorske županije na suglasnost. Tijekom 2025. godine Procjeniteljsko povjerenstvo nije izdalo zatražene suglasnosti slijedom čega nisu provedeni javni natječaji za prodaju.</w:t>
      </w:r>
    </w:p>
    <w:p w14:paraId="0F4581C2" w14:textId="184F9A4B" w:rsidR="0041685B" w:rsidRDefault="0041685B" w:rsidP="0041685B">
      <w:pPr>
        <w:tabs>
          <w:tab w:val="left" w:pos="8370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Šuma katastarske oznake 2373 k.o. Sirač nije prodana tijekom 202</w:t>
      </w:r>
      <w:r w:rsidR="007B45D3">
        <w:rPr>
          <w:rFonts w:ascii="Arial" w:eastAsia="Times New Roman" w:hAnsi="Arial" w:cs="Arial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godine.</w:t>
      </w:r>
    </w:p>
    <w:p w14:paraId="70362A74" w14:textId="5935CE54" w:rsidR="00A80A4C" w:rsidRDefault="0041685B" w:rsidP="0041685B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41685B">
        <w:rPr>
          <w:rFonts w:ascii="Arial" w:hAnsi="Arial" w:cs="Arial"/>
          <w:sz w:val="24"/>
          <w:szCs w:val="24"/>
        </w:rPr>
        <w:t>Z</w:t>
      </w:r>
      <w:r w:rsidR="005D6517" w:rsidRPr="0041685B">
        <w:rPr>
          <w:rFonts w:ascii="Arial" w:hAnsi="Arial" w:cs="Arial"/>
          <w:sz w:val="24"/>
          <w:szCs w:val="24"/>
        </w:rPr>
        <w:t>emlj</w:t>
      </w:r>
      <w:r w:rsidR="00FF1A78" w:rsidRPr="0041685B">
        <w:rPr>
          <w:rFonts w:ascii="Arial" w:hAnsi="Arial" w:cs="Arial"/>
          <w:sz w:val="24"/>
          <w:szCs w:val="24"/>
        </w:rPr>
        <w:t xml:space="preserve">ište u Poduzetničkoj zoni Lanara </w:t>
      </w:r>
      <w:r w:rsidRPr="0041685B">
        <w:rPr>
          <w:rFonts w:ascii="Arial" w:hAnsi="Arial" w:cs="Arial"/>
          <w:sz w:val="24"/>
          <w:szCs w:val="24"/>
        </w:rPr>
        <w:t xml:space="preserve">(2927/4, 2927/9, k.o. Sirač) </w:t>
      </w:r>
      <w:r w:rsidR="00FF1A78" w:rsidRPr="0041685B">
        <w:rPr>
          <w:rFonts w:ascii="Arial" w:hAnsi="Arial" w:cs="Arial"/>
          <w:sz w:val="24"/>
          <w:szCs w:val="24"/>
        </w:rPr>
        <w:t xml:space="preserve">nije otkupljeno te nije izvršeno potpuno okrupnjavanje zone.   </w:t>
      </w:r>
    </w:p>
    <w:p w14:paraId="450AFE15" w14:textId="77777777" w:rsidR="007B45D3" w:rsidRPr="0041685B" w:rsidRDefault="007B45D3" w:rsidP="0041685B">
      <w:pPr>
        <w:pStyle w:val="TableParagraph"/>
        <w:jc w:val="both"/>
        <w:rPr>
          <w:rFonts w:ascii="Arial" w:hAnsi="Arial" w:cs="Arial"/>
          <w:sz w:val="24"/>
          <w:szCs w:val="24"/>
        </w:rPr>
      </w:pPr>
    </w:p>
    <w:p w14:paraId="325A9FF9" w14:textId="77777777" w:rsidR="003812A4" w:rsidRPr="00344895" w:rsidRDefault="003812A4" w:rsidP="002A7A33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344895">
        <w:rPr>
          <w:rFonts w:ascii="Arial" w:hAnsi="Arial" w:cs="Arial"/>
          <w:b/>
          <w:sz w:val="24"/>
          <w:szCs w:val="24"/>
        </w:rPr>
        <w:t>P</w:t>
      </w:r>
      <w:r w:rsidR="004A0F9E" w:rsidRPr="00344895">
        <w:rPr>
          <w:rFonts w:ascii="Arial" w:hAnsi="Arial" w:cs="Arial"/>
          <w:b/>
          <w:sz w:val="24"/>
          <w:szCs w:val="24"/>
        </w:rPr>
        <w:t>oduzetnička</w:t>
      </w:r>
      <w:r w:rsidR="002F2429" w:rsidRPr="00344895">
        <w:rPr>
          <w:rFonts w:ascii="Arial" w:hAnsi="Arial" w:cs="Arial"/>
          <w:b/>
          <w:sz w:val="24"/>
          <w:szCs w:val="24"/>
        </w:rPr>
        <w:t xml:space="preserve"> </w:t>
      </w:r>
      <w:r w:rsidR="004A0F9E" w:rsidRPr="00344895">
        <w:rPr>
          <w:rFonts w:ascii="Arial" w:hAnsi="Arial" w:cs="Arial"/>
          <w:b/>
          <w:sz w:val="24"/>
          <w:szCs w:val="24"/>
        </w:rPr>
        <w:t>zona</w:t>
      </w:r>
    </w:p>
    <w:p w14:paraId="59B7D10C" w14:textId="02A0964D" w:rsidR="00EB2607" w:rsidRPr="008461FC" w:rsidRDefault="00600353" w:rsidP="00600353">
      <w:pPr>
        <w:tabs>
          <w:tab w:val="left" w:pos="284"/>
        </w:tabs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461FC">
        <w:rPr>
          <w:rFonts w:ascii="Arial" w:hAnsi="Arial" w:cs="Arial"/>
          <w:sz w:val="24"/>
          <w:szCs w:val="24"/>
        </w:rPr>
        <w:t xml:space="preserve">Sukladno odredbama </w:t>
      </w:r>
      <w:hyperlink r:id="rId14" w:history="1">
        <w:r w:rsidR="00EB2607" w:rsidRPr="008461FC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Zakon</w:t>
        </w:r>
        <w:r w:rsidRPr="008461FC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a</w:t>
        </w:r>
        <w:r w:rsidR="00EB2607" w:rsidRPr="008461FC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 o unapređenju poduzetničke infrastrukture</w:t>
        </w:r>
      </w:hyperlink>
      <w:r w:rsidR="00EB2607" w:rsidRPr="008461FC">
        <w:rPr>
          <w:rFonts w:ascii="Arial" w:eastAsia="Times New Roman" w:hAnsi="Arial" w:cs="Arial"/>
          <w:sz w:val="24"/>
          <w:szCs w:val="24"/>
        </w:rPr>
        <w:t xml:space="preserve"> (»Narodne novine«, broj</w:t>
      </w:r>
      <w:r w:rsidRPr="008461FC">
        <w:rPr>
          <w:rFonts w:ascii="Arial" w:eastAsia="Times New Roman" w:hAnsi="Arial" w:cs="Arial"/>
          <w:sz w:val="24"/>
          <w:szCs w:val="24"/>
        </w:rPr>
        <w:t xml:space="preserve"> 93/13, 114/13, 41/14, 57/18</w:t>
      </w:r>
      <w:r w:rsidR="005754A6" w:rsidRPr="008461FC">
        <w:rPr>
          <w:rFonts w:ascii="Arial" w:eastAsia="Times New Roman" w:hAnsi="Arial" w:cs="Arial"/>
          <w:sz w:val="24"/>
          <w:szCs w:val="24"/>
        </w:rPr>
        <w:t>, 138/21</w:t>
      </w:r>
      <w:r w:rsidRPr="008461FC">
        <w:rPr>
          <w:rFonts w:ascii="Arial" w:eastAsia="Times New Roman" w:hAnsi="Arial" w:cs="Arial"/>
          <w:sz w:val="24"/>
          <w:szCs w:val="24"/>
        </w:rPr>
        <w:t>) definirana je n</w:t>
      </w:r>
      <w:r w:rsidR="00EB2607" w:rsidRPr="008461FC">
        <w:rPr>
          <w:rFonts w:ascii="Arial" w:eastAsia="Times New Roman" w:hAnsi="Arial" w:cs="Arial"/>
          <w:sz w:val="24"/>
          <w:szCs w:val="24"/>
        </w:rPr>
        <w:t>amje</w:t>
      </w:r>
      <w:r w:rsidRPr="008461FC">
        <w:rPr>
          <w:rFonts w:ascii="Arial" w:eastAsia="Times New Roman" w:hAnsi="Arial" w:cs="Arial"/>
          <w:sz w:val="24"/>
          <w:szCs w:val="24"/>
        </w:rPr>
        <w:t>ra osnivanja Poduzetničkih zona, a ista se ogleda u poticanju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 razvoja poduzetništva kao pokretačke snage lokalnog održivog gospo</w:t>
      </w:r>
      <w:r w:rsidRPr="008461FC">
        <w:rPr>
          <w:rFonts w:ascii="Arial" w:eastAsia="Times New Roman" w:hAnsi="Arial" w:cs="Arial"/>
          <w:sz w:val="24"/>
          <w:szCs w:val="24"/>
        </w:rPr>
        <w:t xml:space="preserve">darskog razvoja sa svrhom 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povećanja broja gospodarskih subjekata na području Općine </w:t>
      </w:r>
      <w:r w:rsidR="00F46483" w:rsidRPr="008461FC">
        <w:rPr>
          <w:rFonts w:ascii="Arial" w:eastAsia="Times New Roman" w:hAnsi="Arial" w:cs="Arial"/>
          <w:sz w:val="24"/>
          <w:szCs w:val="24"/>
        </w:rPr>
        <w:t>Sirač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 i </w:t>
      </w:r>
      <w:r w:rsidRPr="008461FC">
        <w:rPr>
          <w:rFonts w:ascii="Arial" w:eastAsia="Times New Roman" w:hAnsi="Arial" w:cs="Arial"/>
          <w:sz w:val="24"/>
          <w:szCs w:val="24"/>
        </w:rPr>
        <w:t>unaprjeđenja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 njihovih poslovnih rezultata, </w:t>
      </w:r>
      <w:r w:rsidRPr="008461FC">
        <w:rPr>
          <w:rFonts w:ascii="Arial" w:eastAsia="Times New Roman" w:hAnsi="Arial" w:cs="Arial"/>
          <w:sz w:val="24"/>
          <w:szCs w:val="24"/>
        </w:rPr>
        <w:t xml:space="preserve">rast konkurentske prednosti poduzetnika, 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rast zaposlenosti, te </w:t>
      </w:r>
      <w:r w:rsidRPr="008461FC">
        <w:rPr>
          <w:rFonts w:ascii="Arial" w:eastAsia="Times New Roman" w:hAnsi="Arial" w:cs="Arial"/>
          <w:sz w:val="24"/>
          <w:szCs w:val="24"/>
        </w:rPr>
        <w:t>rast</w:t>
      </w:r>
      <w:r w:rsidR="00EB2607" w:rsidRPr="008461FC">
        <w:rPr>
          <w:rFonts w:ascii="Arial" w:eastAsia="Times New Roman" w:hAnsi="Arial" w:cs="Arial"/>
          <w:sz w:val="24"/>
          <w:szCs w:val="24"/>
        </w:rPr>
        <w:t xml:space="preserve"> udjela proizvodnje u ukupnom gospodarstvu Općine </w:t>
      </w:r>
      <w:r w:rsidR="00F46483" w:rsidRPr="008461FC">
        <w:rPr>
          <w:rFonts w:ascii="Arial" w:eastAsia="Times New Roman" w:hAnsi="Arial" w:cs="Arial"/>
          <w:sz w:val="24"/>
          <w:szCs w:val="24"/>
        </w:rPr>
        <w:t>Sirač</w:t>
      </w:r>
      <w:r w:rsidR="00EB2607" w:rsidRPr="008461FC">
        <w:rPr>
          <w:rFonts w:ascii="Arial" w:eastAsia="Times New Roman" w:hAnsi="Arial" w:cs="Arial"/>
          <w:sz w:val="24"/>
          <w:szCs w:val="24"/>
        </w:rPr>
        <w:t>.</w:t>
      </w:r>
    </w:p>
    <w:p w14:paraId="0117E68C" w14:textId="77777777" w:rsidR="008461FC" w:rsidRPr="008461FC" w:rsidRDefault="008461FC" w:rsidP="00600353">
      <w:pPr>
        <w:tabs>
          <w:tab w:val="left" w:pos="284"/>
        </w:tabs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1C1B47E" w14:textId="28692FCE" w:rsidR="00344895" w:rsidRPr="00344895" w:rsidRDefault="00344895" w:rsidP="00344895">
      <w:pPr>
        <w:tabs>
          <w:tab w:val="left" w:pos="284"/>
        </w:tabs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344895">
        <w:rPr>
          <w:rFonts w:ascii="Arial" w:eastAsia="Times New Roman" w:hAnsi="Arial" w:cs="Arial"/>
          <w:sz w:val="24"/>
          <w:szCs w:val="24"/>
        </w:rPr>
        <w:t xml:space="preserve">Općinsko vijeće Općine Sirač </w:t>
      </w:r>
      <w:r>
        <w:rPr>
          <w:rFonts w:ascii="Arial" w:eastAsia="Times New Roman" w:hAnsi="Arial" w:cs="Arial"/>
          <w:sz w:val="24"/>
          <w:szCs w:val="24"/>
        </w:rPr>
        <w:t xml:space="preserve">na svojoj 5. </w:t>
      </w:r>
      <w:proofErr w:type="spellStart"/>
      <w:r>
        <w:rPr>
          <w:rFonts w:ascii="Arial" w:eastAsia="Times New Roman" w:hAnsi="Arial" w:cs="Arial"/>
          <w:sz w:val="24"/>
          <w:szCs w:val="24"/>
        </w:rPr>
        <w:t>sjendici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4895">
        <w:rPr>
          <w:rFonts w:ascii="Arial" w:eastAsia="Times New Roman" w:hAnsi="Arial" w:cs="Arial"/>
          <w:sz w:val="24"/>
          <w:szCs w:val="24"/>
        </w:rPr>
        <w:t>prihva</w:t>
      </w:r>
      <w:r>
        <w:rPr>
          <w:rFonts w:ascii="Arial" w:eastAsia="Times New Roman" w:hAnsi="Arial" w:cs="Arial"/>
          <w:sz w:val="24"/>
          <w:szCs w:val="24"/>
        </w:rPr>
        <w:t>tilo je</w:t>
      </w:r>
      <w:r w:rsidRPr="00344895">
        <w:rPr>
          <w:rFonts w:ascii="Arial" w:eastAsia="Times New Roman" w:hAnsi="Arial" w:cs="Arial"/>
          <w:sz w:val="24"/>
          <w:szCs w:val="24"/>
        </w:rPr>
        <w:t xml:space="preserve"> Pismo namjere tvrtke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Selection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Consulting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d.o.o. za sklapanje dugoročnog ugovora o pravu služnosti zemljišta u Poduzetničkoj zoni Lanara i to: </w:t>
      </w:r>
    </w:p>
    <w:p w14:paraId="4F35FC8C" w14:textId="50368FE5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44895">
        <w:rPr>
          <w:rFonts w:ascii="Arial" w:eastAsia="Times New Roman" w:hAnsi="Arial" w:cs="Arial"/>
          <w:sz w:val="24"/>
          <w:szCs w:val="24"/>
        </w:rPr>
        <w:t xml:space="preserve"> k.č.br. 2927/1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4346 m2 upisana u zk.ul.br. 2463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6526583B" w14:textId="583B2140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44895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4895">
        <w:rPr>
          <w:rFonts w:ascii="Arial" w:eastAsia="Times New Roman" w:hAnsi="Arial" w:cs="Arial"/>
          <w:sz w:val="24"/>
          <w:szCs w:val="24"/>
        </w:rPr>
        <w:t xml:space="preserve">k.č.br. 2927/2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2553 m2 upisana u zk.ul.br. 2456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0B13B351" w14:textId="6F778504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Pr="00344895">
        <w:rPr>
          <w:rFonts w:ascii="Arial" w:eastAsia="Times New Roman" w:hAnsi="Arial" w:cs="Arial"/>
          <w:sz w:val="24"/>
          <w:szCs w:val="24"/>
        </w:rPr>
        <w:t xml:space="preserve"> k.č.br. 2927/3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4232 m2 upisana u zk.ul.br. 2464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0DD2E2C6" w14:textId="5736D274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r w:rsidRPr="00344895">
        <w:rPr>
          <w:rFonts w:ascii="Arial" w:eastAsia="Times New Roman" w:hAnsi="Arial" w:cs="Arial"/>
          <w:sz w:val="24"/>
          <w:szCs w:val="24"/>
        </w:rPr>
        <w:t xml:space="preserve">k.č.br. 2927/5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8602 m2 upisana u zk.ul.br. 2492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6E52902E" w14:textId="6D348A79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44895">
        <w:rPr>
          <w:rFonts w:ascii="Arial" w:eastAsia="Times New Roman" w:hAnsi="Arial" w:cs="Arial"/>
          <w:sz w:val="24"/>
          <w:szCs w:val="24"/>
        </w:rPr>
        <w:t xml:space="preserve">k.č.br. 2927/6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9247 m2 upisana u zk.ul.br. 2498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70723523" w14:textId="13B13819" w:rsidR="00344895" w:rsidRP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44895">
        <w:rPr>
          <w:rFonts w:ascii="Arial" w:eastAsia="Times New Roman" w:hAnsi="Arial" w:cs="Arial"/>
          <w:sz w:val="24"/>
          <w:szCs w:val="24"/>
        </w:rPr>
        <w:t xml:space="preserve">k.č.br. 2927/7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4036 m2 upisana u zk.ul.br. 2493 k.o. Sirač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05B8D4DA" w14:textId="40E092DA" w:rsid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344895">
        <w:rPr>
          <w:rFonts w:ascii="Arial" w:eastAsia="Times New Roman" w:hAnsi="Arial" w:cs="Arial"/>
          <w:sz w:val="24"/>
          <w:szCs w:val="24"/>
        </w:rPr>
        <w:t xml:space="preserve">k.č.br. 2927/8 </w:t>
      </w:r>
      <w:proofErr w:type="spellStart"/>
      <w:r w:rsidRPr="00344895">
        <w:rPr>
          <w:rFonts w:ascii="Arial" w:eastAsia="Times New Roman" w:hAnsi="Arial" w:cs="Arial"/>
          <w:sz w:val="24"/>
          <w:szCs w:val="24"/>
        </w:rPr>
        <w:t>Oraško</w:t>
      </w:r>
      <w:proofErr w:type="spellEnd"/>
      <w:r w:rsidRPr="00344895">
        <w:rPr>
          <w:rFonts w:ascii="Arial" w:eastAsia="Times New Roman" w:hAnsi="Arial" w:cs="Arial"/>
          <w:sz w:val="24"/>
          <w:szCs w:val="24"/>
        </w:rPr>
        <w:t xml:space="preserve"> polje livada površine 10321 m2 upisana u zk.ul.br. 3073 k.o. Sirač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344895">
        <w:rPr>
          <w:rFonts w:ascii="Arial" w:eastAsia="Times New Roman" w:hAnsi="Arial" w:cs="Arial"/>
          <w:sz w:val="24"/>
          <w:szCs w:val="24"/>
        </w:rPr>
        <w:t>u svrhu izgradnje solarne elektrane.</w:t>
      </w:r>
      <w:r>
        <w:rPr>
          <w:rFonts w:ascii="Arial" w:eastAsia="Times New Roman" w:hAnsi="Arial" w:cs="Arial"/>
          <w:sz w:val="24"/>
          <w:szCs w:val="24"/>
        </w:rPr>
        <w:t xml:space="preserve"> Do kraja 2025. godine isto nije u potpunosti realizirano.</w:t>
      </w:r>
    </w:p>
    <w:p w14:paraId="4CA86172" w14:textId="3E81697E" w:rsidR="00344895" w:rsidRDefault="00344895" w:rsidP="00344895">
      <w:pPr>
        <w:tabs>
          <w:tab w:val="left" w:pos="284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BCA1A16" w14:textId="67734845" w:rsidR="000F0641" w:rsidRPr="008461FC" w:rsidRDefault="008461FC" w:rsidP="00344895">
      <w:pPr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461FC">
        <w:rPr>
          <w:rFonts w:ascii="Arial" w:eastAsia="Times New Roman" w:hAnsi="Arial" w:cs="Arial"/>
          <w:sz w:val="24"/>
          <w:szCs w:val="24"/>
        </w:rPr>
        <w:t>Općina Sirač tijekom 202</w:t>
      </w:r>
      <w:r w:rsidR="00344895">
        <w:rPr>
          <w:rFonts w:ascii="Arial" w:eastAsia="Times New Roman" w:hAnsi="Arial" w:cs="Arial"/>
          <w:sz w:val="24"/>
          <w:szCs w:val="24"/>
        </w:rPr>
        <w:t>5</w:t>
      </w:r>
      <w:r w:rsidRPr="008461FC">
        <w:rPr>
          <w:rFonts w:ascii="Arial" w:eastAsia="Times New Roman" w:hAnsi="Arial" w:cs="Arial"/>
          <w:sz w:val="24"/>
          <w:szCs w:val="24"/>
        </w:rPr>
        <w:t xml:space="preserve">. godine dodjeljivala je bespovratne potpore sukladno Programu poticanja gospodarstva čime je </w:t>
      </w:r>
      <w:r w:rsidRPr="008461FC">
        <w:rPr>
          <w:rFonts w:ascii="Arial" w:hAnsi="Arial" w:cs="Arial"/>
          <w:sz w:val="24"/>
          <w:szCs w:val="24"/>
        </w:rPr>
        <w:t>poticala gospodarstv</w:t>
      </w:r>
      <w:r>
        <w:rPr>
          <w:rFonts w:ascii="Arial" w:hAnsi="Arial" w:cs="Arial"/>
          <w:sz w:val="24"/>
          <w:szCs w:val="24"/>
        </w:rPr>
        <w:t>o</w:t>
      </w:r>
      <w:r w:rsidRPr="008461FC">
        <w:rPr>
          <w:rFonts w:ascii="Arial" w:hAnsi="Arial" w:cs="Arial"/>
          <w:sz w:val="24"/>
          <w:szCs w:val="24"/>
        </w:rPr>
        <w:t xml:space="preserve"> s ciljem jačanja poduzetništva i stvaranja uvjeta za pozitivnu poduzetničku klimu koja pridonosi ukupnom gospodarskom i društvenom razvoju područja Općine Sirač. Također je stambenim potporama mladim obiteljima pokušala osigurati os</w:t>
      </w:r>
      <w:r w:rsidR="000F0641" w:rsidRPr="008461FC">
        <w:rPr>
          <w:rFonts w:ascii="Arial" w:hAnsi="Arial" w:cs="Arial"/>
          <w:sz w:val="24"/>
          <w:szCs w:val="24"/>
        </w:rPr>
        <w:t xml:space="preserve">tanak mladih </w:t>
      </w:r>
      <w:r w:rsidRPr="008461FC">
        <w:rPr>
          <w:rFonts w:ascii="Arial" w:hAnsi="Arial" w:cs="Arial"/>
          <w:sz w:val="24"/>
          <w:szCs w:val="24"/>
        </w:rPr>
        <w:t>i</w:t>
      </w:r>
      <w:r w:rsidR="000F0641" w:rsidRPr="008461FC">
        <w:rPr>
          <w:rFonts w:ascii="Arial" w:hAnsi="Arial" w:cs="Arial"/>
          <w:sz w:val="24"/>
          <w:szCs w:val="24"/>
        </w:rPr>
        <w:t xml:space="preserve"> stručnih kadrova u Općini.</w:t>
      </w:r>
    </w:p>
    <w:p w14:paraId="0AE29245" w14:textId="77777777" w:rsidR="003A7240" w:rsidRDefault="003A7240" w:rsidP="00FF1A78">
      <w:pPr>
        <w:tabs>
          <w:tab w:val="left" w:pos="615"/>
          <w:tab w:val="center" w:pos="4716"/>
        </w:tabs>
        <w:spacing w:after="0"/>
        <w:ind w:left="36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A251DDE" w14:textId="77777777" w:rsidR="008721EA" w:rsidRDefault="008721EA" w:rsidP="008721EA">
      <w:pPr>
        <w:tabs>
          <w:tab w:val="left" w:pos="615"/>
          <w:tab w:val="center" w:pos="4716"/>
        </w:tabs>
        <w:spacing w:after="0"/>
        <w:rPr>
          <w:rFonts w:ascii="Arial" w:hAnsi="Arial" w:cs="Arial"/>
          <w:color w:val="FF0000"/>
          <w:highlight w:val="yellow"/>
        </w:rPr>
      </w:pPr>
    </w:p>
    <w:p w14:paraId="573A2BA1" w14:textId="77777777" w:rsidR="000449E8" w:rsidRPr="002A7A33" w:rsidRDefault="000449E8" w:rsidP="000449E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Nerazvrstane ceste</w:t>
      </w:r>
    </w:p>
    <w:p w14:paraId="6DA893B5" w14:textId="46B51C5E" w:rsidR="00C76812" w:rsidRPr="00B84FD8" w:rsidRDefault="00AC7444" w:rsidP="00B84FD8">
      <w:pPr>
        <w:tabs>
          <w:tab w:val="left" w:pos="426"/>
        </w:tabs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84FD8">
        <w:rPr>
          <w:rFonts w:ascii="Arial" w:eastAsia="Times New Roman" w:hAnsi="Arial" w:cs="Arial"/>
          <w:sz w:val="24"/>
          <w:szCs w:val="24"/>
        </w:rPr>
        <w:t>Sukladno odredbama</w:t>
      </w:r>
      <w:r w:rsidR="002F2429">
        <w:rPr>
          <w:rFonts w:ascii="Arial" w:eastAsia="Times New Roman" w:hAnsi="Arial" w:cs="Arial"/>
          <w:sz w:val="24"/>
          <w:szCs w:val="24"/>
        </w:rPr>
        <w:t xml:space="preserve"> </w:t>
      </w:r>
      <w:hyperlink r:id="rId15" w:history="1">
        <w:r w:rsidRPr="00B84FD8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Zakona</w:t>
        </w:r>
        <w:r w:rsidR="00DD1B89" w:rsidRPr="00B84FD8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 o cestama </w:t>
        </w:r>
        <w:r w:rsidR="00DD1B89" w:rsidRPr="00B84FD8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(»Narodne novine«, broj </w:t>
        </w:r>
        <w:r w:rsidR="00DD1B89" w:rsidRPr="00B84FD8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84/11, </w:t>
        </w:r>
        <w:r w:rsidR="00F66679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 xml:space="preserve">18/13, </w:t>
        </w:r>
        <w:r w:rsidR="00DD1B89" w:rsidRPr="00B84FD8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22/13, 54/13, 148/13, 92/14</w:t>
        </w:r>
        <w:r w:rsidR="00F66679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, 110/19</w:t>
        </w:r>
        <w:r w:rsidR="00C630C3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, 144/21, 114/22</w:t>
        </w:r>
        <w:r w:rsidR="00DD1B89" w:rsidRPr="00B84FD8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</w:rPr>
          <w:t>)</w:t>
        </w:r>
      </w:hyperlink>
      <w:r w:rsidR="00205845">
        <w:rPr>
          <w:rStyle w:val="Hiperveza"/>
          <w:rFonts w:ascii="Arial" w:eastAsia="Times New Roman" w:hAnsi="Arial" w:cs="Arial"/>
          <w:color w:val="auto"/>
          <w:sz w:val="24"/>
          <w:szCs w:val="24"/>
          <w:u w:val="none"/>
        </w:rPr>
        <w:t xml:space="preserve"> </w:t>
      </w:r>
      <w:r w:rsidR="00C76812" w:rsidRPr="00B84FD8">
        <w:rPr>
          <w:rFonts w:ascii="Arial" w:eastAsia="Times New Roman" w:hAnsi="Arial" w:cs="Arial"/>
          <w:sz w:val="24"/>
          <w:szCs w:val="24"/>
        </w:rPr>
        <w:t xml:space="preserve">pod pojmom </w:t>
      </w:r>
      <w:r w:rsidR="00DD1B89" w:rsidRPr="00B84FD8">
        <w:rPr>
          <w:rFonts w:ascii="Arial" w:eastAsia="Times New Roman" w:hAnsi="Arial" w:cs="Arial"/>
          <w:sz w:val="24"/>
          <w:szCs w:val="24"/>
        </w:rPr>
        <w:t xml:space="preserve">nerazvrstane ceste </w:t>
      </w:r>
      <w:r w:rsidR="00C76812" w:rsidRPr="00B84FD8">
        <w:rPr>
          <w:rFonts w:ascii="Arial" w:eastAsia="Times New Roman" w:hAnsi="Arial" w:cs="Arial"/>
          <w:sz w:val="24"/>
          <w:szCs w:val="24"/>
        </w:rPr>
        <w:t>podrazumijevaju se</w:t>
      </w:r>
      <w:r w:rsidR="00DD1B89" w:rsidRPr="00B84FD8">
        <w:rPr>
          <w:rFonts w:ascii="Arial" w:eastAsia="Times New Roman" w:hAnsi="Arial" w:cs="Arial"/>
          <w:sz w:val="24"/>
          <w:szCs w:val="24"/>
        </w:rPr>
        <w:t xml:space="preserve"> ceste koje s</w:t>
      </w:r>
      <w:r w:rsidR="00C76812" w:rsidRPr="00B84FD8">
        <w:rPr>
          <w:rFonts w:ascii="Arial" w:eastAsia="Times New Roman" w:hAnsi="Arial" w:cs="Arial"/>
          <w:sz w:val="24"/>
          <w:szCs w:val="24"/>
        </w:rPr>
        <w:t xml:space="preserve">e koriste za promet vozilima i </w:t>
      </w:r>
      <w:r w:rsidR="00DD1B89" w:rsidRPr="00B84FD8">
        <w:rPr>
          <w:rFonts w:ascii="Arial" w:eastAsia="Times New Roman" w:hAnsi="Arial" w:cs="Arial"/>
          <w:sz w:val="24"/>
          <w:szCs w:val="24"/>
        </w:rPr>
        <w:t xml:space="preserve">koje svatko može slobodno koristiti na način i pod uvjetima određenim navedenim Zakonom i drugim propisima, a koje nisu razvrstane kao javne ceste u smislu navedenog Zakona. </w:t>
      </w:r>
    </w:p>
    <w:p w14:paraId="773766E2" w14:textId="77777777" w:rsidR="00C76812" w:rsidRPr="00B84FD8" w:rsidRDefault="00DD1B89" w:rsidP="00B84FD8">
      <w:pPr>
        <w:tabs>
          <w:tab w:val="left" w:pos="426"/>
        </w:tabs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B84FD8">
        <w:rPr>
          <w:rFonts w:ascii="Arial" w:eastAsia="Times New Roman" w:hAnsi="Arial" w:cs="Arial"/>
          <w:sz w:val="24"/>
          <w:szCs w:val="24"/>
        </w:rPr>
        <w:t xml:space="preserve">Nerazvrstane ceste su javno dobro u općoj uporabi u </w:t>
      </w:r>
      <w:r w:rsidR="00C76812" w:rsidRPr="00B84FD8">
        <w:rPr>
          <w:rFonts w:ascii="Arial" w:eastAsia="Times New Roman" w:hAnsi="Arial" w:cs="Arial"/>
          <w:sz w:val="24"/>
          <w:szCs w:val="24"/>
        </w:rPr>
        <w:t>JLS</w:t>
      </w:r>
      <w:r w:rsidRPr="00B84FD8">
        <w:rPr>
          <w:rFonts w:ascii="Arial" w:eastAsia="Times New Roman" w:hAnsi="Arial" w:cs="Arial"/>
          <w:sz w:val="24"/>
          <w:szCs w:val="24"/>
        </w:rPr>
        <w:t xml:space="preserve"> na čijem se području nalaze. Nerazvrstane ceste se ne mogu otuđiti iz vlasništva jedinice lokalne samouprave niti se na njoj mogu stjecati stvarna prava, osim prava služnosti i prava građenja radi građenja građevina sukladno odluci izvršnog tijela </w:t>
      </w:r>
      <w:r w:rsidR="00C76812" w:rsidRPr="00B84FD8">
        <w:rPr>
          <w:rFonts w:ascii="Arial" w:eastAsia="Times New Roman" w:hAnsi="Arial" w:cs="Arial"/>
          <w:sz w:val="24"/>
          <w:szCs w:val="24"/>
        </w:rPr>
        <w:t>JLS</w:t>
      </w:r>
      <w:r w:rsidRPr="00B84FD8">
        <w:rPr>
          <w:rFonts w:ascii="Arial" w:eastAsia="Times New Roman" w:hAnsi="Arial" w:cs="Arial"/>
          <w:sz w:val="24"/>
          <w:szCs w:val="24"/>
        </w:rPr>
        <w:t xml:space="preserve">, pod uvjetima da ne ometaju odvijanje prometa i održavanje nerazvrstane ceste. </w:t>
      </w:r>
    </w:p>
    <w:p w14:paraId="219999C5" w14:textId="5DF910E2" w:rsidR="00B64328" w:rsidRDefault="00010E3C" w:rsidP="00010E3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14AA">
        <w:rPr>
          <w:rFonts w:ascii="Arial" w:hAnsi="Arial" w:cs="Arial"/>
          <w:sz w:val="24"/>
          <w:szCs w:val="24"/>
        </w:rPr>
        <w:t xml:space="preserve">Općina </w:t>
      </w:r>
      <w:r w:rsidR="00F46483" w:rsidRPr="00A214AA">
        <w:rPr>
          <w:rFonts w:ascii="Arial" w:hAnsi="Arial" w:cs="Arial"/>
          <w:sz w:val="24"/>
          <w:szCs w:val="24"/>
        </w:rPr>
        <w:t>Sirač</w:t>
      </w:r>
      <w:r w:rsidR="009F0AD5">
        <w:rPr>
          <w:rFonts w:ascii="Arial" w:hAnsi="Arial" w:cs="Arial"/>
          <w:sz w:val="24"/>
          <w:szCs w:val="24"/>
        </w:rPr>
        <w:t xml:space="preserve"> </w:t>
      </w:r>
      <w:r w:rsidR="00DD1B89" w:rsidRPr="00A214AA">
        <w:rPr>
          <w:rFonts w:ascii="Arial" w:hAnsi="Arial" w:cs="Arial"/>
          <w:sz w:val="24"/>
          <w:szCs w:val="24"/>
        </w:rPr>
        <w:t>u 202</w:t>
      </w:r>
      <w:r w:rsidR="00665786">
        <w:rPr>
          <w:rFonts w:ascii="Arial" w:hAnsi="Arial" w:cs="Arial"/>
          <w:sz w:val="24"/>
          <w:szCs w:val="24"/>
        </w:rPr>
        <w:t>5</w:t>
      </w:r>
      <w:r w:rsidR="00B64328">
        <w:rPr>
          <w:rFonts w:ascii="Arial" w:hAnsi="Arial" w:cs="Arial"/>
          <w:sz w:val="24"/>
          <w:szCs w:val="24"/>
        </w:rPr>
        <w:t xml:space="preserve"> godini </w:t>
      </w:r>
      <w:r w:rsidR="00665786">
        <w:rPr>
          <w:rFonts w:ascii="Arial" w:hAnsi="Arial" w:cs="Arial"/>
          <w:sz w:val="24"/>
          <w:szCs w:val="24"/>
        </w:rPr>
        <w:t xml:space="preserve">nije provodila </w:t>
      </w:r>
      <w:r w:rsidR="00B64328">
        <w:rPr>
          <w:rFonts w:ascii="Arial" w:hAnsi="Arial" w:cs="Arial"/>
          <w:sz w:val="24"/>
          <w:szCs w:val="24"/>
        </w:rPr>
        <w:t>aktivnosti evidentiranja nerazvrstanih cesta</w:t>
      </w:r>
      <w:r w:rsidR="008461FC">
        <w:rPr>
          <w:rFonts w:ascii="Arial" w:hAnsi="Arial" w:cs="Arial"/>
          <w:sz w:val="24"/>
          <w:szCs w:val="24"/>
        </w:rPr>
        <w:t>,</w:t>
      </w:r>
      <w:r w:rsidR="00B64328">
        <w:rPr>
          <w:rFonts w:ascii="Arial" w:hAnsi="Arial" w:cs="Arial"/>
          <w:sz w:val="24"/>
          <w:szCs w:val="24"/>
        </w:rPr>
        <w:t xml:space="preserve"> </w:t>
      </w:r>
      <w:r w:rsidR="00665786">
        <w:rPr>
          <w:rFonts w:ascii="Arial" w:hAnsi="Arial" w:cs="Arial"/>
          <w:sz w:val="24"/>
          <w:szCs w:val="24"/>
        </w:rPr>
        <w:t xml:space="preserve">a obzirom na </w:t>
      </w:r>
      <w:r w:rsidR="00B64328">
        <w:rPr>
          <w:rFonts w:ascii="Arial" w:hAnsi="Arial" w:cs="Arial"/>
          <w:sz w:val="24"/>
          <w:szCs w:val="24"/>
        </w:rPr>
        <w:t>proračunsk</w:t>
      </w:r>
      <w:r w:rsidR="00665786">
        <w:rPr>
          <w:rFonts w:ascii="Arial" w:hAnsi="Arial" w:cs="Arial"/>
          <w:sz w:val="24"/>
          <w:szCs w:val="24"/>
        </w:rPr>
        <w:t>e</w:t>
      </w:r>
      <w:r w:rsidR="00B64328">
        <w:rPr>
          <w:rFonts w:ascii="Arial" w:hAnsi="Arial" w:cs="Arial"/>
          <w:sz w:val="24"/>
          <w:szCs w:val="24"/>
        </w:rPr>
        <w:t xml:space="preserve"> mogućnosti.</w:t>
      </w:r>
    </w:p>
    <w:p w14:paraId="332D0EFD" w14:textId="206CCA39" w:rsidR="00F62695" w:rsidRDefault="008461FC" w:rsidP="008461FC">
      <w:pPr>
        <w:pStyle w:val="Opisslike"/>
        <w:tabs>
          <w:tab w:val="left" w:pos="567"/>
          <w:tab w:val="center" w:pos="4715"/>
        </w:tabs>
        <w:spacing w:after="0"/>
        <w:ind w:firstLine="567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5" w:name="_Toc10716707"/>
      <w:r w:rsidRPr="008461FC">
        <w:rPr>
          <w:rFonts w:ascii="Arial" w:hAnsi="Arial" w:cs="Arial"/>
          <w:b w:val="0"/>
          <w:bCs w:val="0"/>
          <w:color w:val="auto"/>
          <w:sz w:val="24"/>
          <w:szCs w:val="24"/>
        </w:rPr>
        <w:t>U 202</w:t>
      </w:r>
      <w:r w:rsidR="00665786">
        <w:rPr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Pr="008461F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. godini Općina Sirač za održavanje nerazvrstanih cesta utrošila je </w:t>
      </w:r>
      <w:r w:rsidR="00665786" w:rsidRPr="006657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73.138,55 </w:t>
      </w:r>
      <w:r w:rsidRPr="008461FC">
        <w:rPr>
          <w:rFonts w:ascii="Arial" w:hAnsi="Arial" w:cs="Arial"/>
          <w:b w:val="0"/>
          <w:bCs w:val="0"/>
          <w:color w:val="auto"/>
          <w:sz w:val="24"/>
          <w:szCs w:val="24"/>
        </w:rPr>
        <w:t>eura, a veći dio odnosio se na održavanje poljskih puteva.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</w:p>
    <w:p w14:paraId="1242C8D1" w14:textId="77777777" w:rsidR="008461FC" w:rsidRDefault="008461FC" w:rsidP="008461FC">
      <w:pPr>
        <w:rPr>
          <w:rFonts w:ascii="Arial" w:hAnsi="Arial" w:cs="Arial"/>
          <w:sz w:val="24"/>
          <w:szCs w:val="24"/>
        </w:rPr>
      </w:pPr>
    </w:p>
    <w:p w14:paraId="7C573206" w14:textId="41C86BB6" w:rsidR="00180371" w:rsidRDefault="00443F7A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6" w:name="_Toc150347719"/>
      <w:bookmarkEnd w:id="5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RJEŠAVANJA IMOVINSKO-PRAVNIH I DRUGIH ODNOSA VEZANIH UZ PROJEKTE OBNOVLJIVIH IZVORA ENERGIJE TE OSTALIH INFRASTRUKTURNIH PROJEKATA, KAO I EKSPLOATACIJU MINERALNIH SIROVINA SUKLADNO PROPISIMA KOJI UREĐUJU TA PODRUČJA</w:t>
      </w:r>
      <w:bookmarkEnd w:id="6"/>
    </w:p>
    <w:p w14:paraId="382708E4" w14:textId="77777777" w:rsidR="00553005" w:rsidRPr="00CE2215" w:rsidRDefault="006F2638" w:rsidP="00D64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>Rješavanje suvlasničkih odnosa jedan je od važnih zadataka svake jedinice</w:t>
      </w:r>
      <w:r w:rsidR="001722B5" w:rsidRPr="00CE2215">
        <w:rPr>
          <w:rFonts w:ascii="Arial" w:hAnsi="Arial" w:cs="Arial"/>
          <w:sz w:val="24"/>
          <w:szCs w:val="24"/>
        </w:rPr>
        <w:t xml:space="preserve"> </w:t>
      </w:r>
      <w:r w:rsidRPr="00CE2215">
        <w:rPr>
          <w:rFonts w:ascii="Arial" w:hAnsi="Arial" w:cs="Arial"/>
          <w:sz w:val="24"/>
          <w:szCs w:val="24"/>
        </w:rPr>
        <w:t>lokalne i područne samouprave u procesu rješavanja prijepora oko zahtjeva koje JL(R)S imaju prema Republici Hrvatskoj. Iz toga proizlazi potreba za popisom svih nekretnina (stanova, poslovnih prostora i građevinskih</w:t>
      </w:r>
      <w:r w:rsidR="00553005" w:rsidRPr="00CE2215">
        <w:rPr>
          <w:rFonts w:ascii="Arial" w:hAnsi="Arial" w:cs="Arial"/>
          <w:sz w:val="24"/>
          <w:szCs w:val="24"/>
        </w:rPr>
        <w:t xml:space="preserve"> zemljišta) na kojima postoji su</w:t>
      </w:r>
      <w:r w:rsidRPr="00CE2215">
        <w:rPr>
          <w:rFonts w:ascii="Arial" w:hAnsi="Arial" w:cs="Arial"/>
          <w:sz w:val="24"/>
          <w:szCs w:val="24"/>
        </w:rPr>
        <w:t>vlasništvo, potom zam</w:t>
      </w:r>
      <w:r w:rsidR="00553005" w:rsidRPr="00CE2215">
        <w:rPr>
          <w:rFonts w:ascii="Arial" w:hAnsi="Arial" w:cs="Arial"/>
          <w:sz w:val="24"/>
          <w:szCs w:val="24"/>
        </w:rPr>
        <w:t>j</w:t>
      </w:r>
      <w:r w:rsidRPr="00CE2215">
        <w:rPr>
          <w:rFonts w:ascii="Arial" w:hAnsi="Arial" w:cs="Arial"/>
          <w:sz w:val="24"/>
          <w:szCs w:val="24"/>
        </w:rPr>
        <w:t>enom suvlasničkih omjera</w:t>
      </w:r>
      <w:r w:rsidR="00553005" w:rsidRPr="00CE2215">
        <w:rPr>
          <w:rFonts w:ascii="Arial" w:hAnsi="Arial" w:cs="Arial"/>
          <w:sz w:val="24"/>
          <w:szCs w:val="24"/>
        </w:rPr>
        <w:t xml:space="preserve"> na pojedinim </w:t>
      </w:r>
      <w:r w:rsidRPr="00CE2215">
        <w:rPr>
          <w:rFonts w:ascii="Arial" w:hAnsi="Arial" w:cs="Arial"/>
          <w:sz w:val="24"/>
          <w:szCs w:val="24"/>
        </w:rPr>
        <w:t>nekretninama ili razvrgnućem suvlasničke zajednice</w:t>
      </w:r>
      <w:r w:rsidR="00553005" w:rsidRPr="00CE2215">
        <w:rPr>
          <w:rFonts w:ascii="Arial" w:hAnsi="Arial" w:cs="Arial"/>
          <w:sz w:val="24"/>
          <w:szCs w:val="24"/>
        </w:rPr>
        <w:t xml:space="preserve"> geometrijskom diobom. </w:t>
      </w:r>
      <w:r w:rsidRPr="00CE2215">
        <w:rPr>
          <w:rFonts w:ascii="Arial" w:hAnsi="Arial" w:cs="Arial"/>
          <w:sz w:val="24"/>
          <w:szCs w:val="24"/>
        </w:rPr>
        <w:t xml:space="preserve">Dakle, </w:t>
      </w:r>
      <w:r w:rsidR="00553005" w:rsidRPr="00CE2215">
        <w:rPr>
          <w:rFonts w:ascii="Arial" w:hAnsi="Arial" w:cs="Arial"/>
          <w:sz w:val="24"/>
          <w:szCs w:val="24"/>
        </w:rPr>
        <w:t>zamjenom nekretnina formirale</w:t>
      </w:r>
      <w:r w:rsidRPr="00CE2215">
        <w:rPr>
          <w:rFonts w:ascii="Arial" w:hAnsi="Arial" w:cs="Arial"/>
          <w:sz w:val="24"/>
          <w:szCs w:val="24"/>
        </w:rPr>
        <w:t xml:space="preserve"> bi se</w:t>
      </w:r>
      <w:r w:rsidR="00553005" w:rsidRPr="00CE2215">
        <w:rPr>
          <w:rFonts w:ascii="Arial" w:hAnsi="Arial" w:cs="Arial"/>
          <w:sz w:val="24"/>
          <w:szCs w:val="24"/>
        </w:rPr>
        <w:t xml:space="preserve"> veće građevinske čestice pogodne za investicije.</w:t>
      </w:r>
    </w:p>
    <w:p w14:paraId="4C8CDE48" w14:textId="77777777" w:rsidR="00553005" w:rsidRPr="00CE2215" w:rsidRDefault="00B40F48" w:rsidP="00D64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>Predmet interesa rješavanja</w:t>
      </w:r>
      <w:r w:rsidR="00553005" w:rsidRPr="00CE2215">
        <w:rPr>
          <w:rFonts w:ascii="Arial" w:hAnsi="Arial" w:cs="Arial"/>
          <w:sz w:val="24"/>
          <w:szCs w:val="24"/>
        </w:rPr>
        <w:t xml:space="preserve"> imovinskopravnih odnosa </w:t>
      </w:r>
      <w:r w:rsidRPr="00CE2215">
        <w:rPr>
          <w:rFonts w:ascii="Arial" w:hAnsi="Arial" w:cs="Arial"/>
          <w:sz w:val="24"/>
          <w:szCs w:val="24"/>
        </w:rPr>
        <w:t>u svrhu</w:t>
      </w:r>
      <w:r w:rsidR="00553005" w:rsidRPr="00CE2215">
        <w:rPr>
          <w:rFonts w:ascii="Arial" w:hAnsi="Arial" w:cs="Arial"/>
          <w:sz w:val="24"/>
          <w:szCs w:val="24"/>
        </w:rPr>
        <w:t xml:space="preserve"> realizacije projekata </w:t>
      </w:r>
      <w:r w:rsidRPr="00CE2215">
        <w:rPr>
          <w:rFonts w:ascii="Arial" w:hAnsi="Arial" w:cs="Arial"/>
          <w:sz w:val="24"/>
          <w:szCs w:val="24"/>
        </w:rPr>
        <w:t>JL(R)S su</w:t>
      </w:r>
      <w:r w:rsidR="00553005" w:rsidRPr="00CE2215">
        <w:rPr>
          <w:rFonts w:ascii="Arial" w:hAnsi="Arial" w:cs="Arial"/>
          <w:sz w:val="24"/>
          <w:szCs w:val="24"/>
        </w:rPr>
        <w:t>:</w:t>
      </w:r>
    </w:p>
    <w:p w14:paraId="5338469F" w14:textId="77777777" w:rsidR="00553005" w:rsidRPr="00CE2215" w:rsidRDefault="00553005" w:rsidP="00B40F48">
      <w:pPr>
        <w:pStyle w:val="Odlomakpopis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>Projekti od općeg javnog ili socijalnog interesa</w:t>
      </w:r>
      <w:r w:rsidR="00B40F48" w:rsidRPr="00CE2215">
        <w:rPr>
          <w:rFonts w:ascii="Arial" w:hAnsi="Arial" w:cs="Arial"/>
          <w:sz w:val="24"/>
          <w:szCs w:val="24"/>
        </w:rPr>
        <w:t>,</w:t>
      </w:r>
    </w:p>
    <w:p w14:paraId="30FA3321" w14:textId="77777777" w:rsidR="00553005" w:rsidRPr="00CE2215" w:rsidRDefault="00553005" w:rsidP="00B40F48">
      <w:pPr>
        <w:pStyle w:val="Odlomakpopis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 xml:space="preserve">Projekti od osobitog značaja za gospodarski razvoj </w:t>
      </w:r>
      <w:r w:rsidR="00B40F48" w:rsidRPr="00CE2215">
        <w:rPr>
          <w:rFonts w:ascii="Arial" w:hAnsi="Arial" w:cs="Arial"/>
          <w:sz w:val="24"/>
          <w:szCs w:val="24"/>
        </w:rPr>
        <w:t>(poduzetničke zone),</w:t>
      </w:r>
    </w:p>
    <w:p w14:paraId="09884C03" w14:textId="77777777" w:rsidR="00553005" w:rsidRPr="00CE2215" w:rsidRDefault="00553005" w:rsidP="00B40F48">
      <w:pPr>
        <w:pStyle w:val="Odlomakpopis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 xml:space="preserve">Infrastrukturni projekti </w:t>
      </w:r>
      <w:r w:rsidR="00B40F48" w:rsidRPr="00CE2215">
        <w:rPr>
          <w:rFonts w:ascii="Arial" w:hAnsi="Arial" w:cs="Arial"/>
          <w:sz w:val="24"/>
          <w:szCs w:val="24"/>
        </w:rPr>
        <w:t>JL(R)S</w:t>
      </w:r>
    </w:p>
    <w:p w14:paraId="4CD8CC75" w14:textId="73CD7A7A" w:rsidR="00553005" w:rsidRPr="00CE2215" w:rsidRDefault="00553005" w:rsidP="00B40F48">
      <w:pPr>
        <w:pStyle w:val="Odlomakpopis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CE2215">
        <w:rPr>
          <w:rFonts w:ascii="Arial" w:hAnsi="Arial" w:cs="Arial"/>
          <w:sz w:val="24"/>
          <w:szCs w:val="24"/>
        </w:rPr>
        <w:t xml:space="preserve">Projekti </w:t>
      </w:r>
      <w:r w:rsidR="00B40F48" w:rsidRPr="00CE2215">
        <w:rPr>
          <w:rFonts w:ascii="Arial" w:hAnsi="Arial" w:cs="Arial"/>
          <w:sz w:val="24"/>
          <w:szCs w:val="24"/>
        </w:rPr>
        <w:t>JL(R)</w:t>
      </w:r>
      <w:r w:rsidR="00845DC9" w:rsidRPr="00CE2215">
        <w:rPr>
          <w:rFonts w:ascii="Arial" w:hAnsi="Arial" w:cs="Arial"/>
          <w:sz w:val="24"/>
          <w:szCs w:val="24"/>
        </w:rPr>
        <w:t xml:space="preserve"> su</w:t>
      </w:r>
      <w:r w:rsidR="00B40F48" w:rsidRPr="00CE2215">
        <w:rPr>
          <w:rFonts w:ascii="Arial" w:hAnsi="Arial" w:cs="Arial"/>
          <w:sz w:val="24"/>
          <w:szCs w:val="24"/>
        </w:rPr>
        <w:t>financirani</w:t>
      </w:r>
      <w:r w:rsidRPr="00CE2215">
        <w:rPr>
          <w:rFonts w:ascii="Arial" w:hAnsi="Arial" w:cs="Arial"/>
          <w:sz w:val="24"/>
          <w:szCs w:val="24"/>
        </w:rPr>
        <w:t xml:space="preserve"> iz fondova </w:t>
      </w:r>
      <w:r w:rsidR="00B40F48" w:rsidRPr="00CE2215">
        <w:rPr>
          <w:rFonts w:ascii="Arial" w:hAnsi="Arial" w:cs="Arial"/>
          <w:sz w:val="24"/>
          <w:szCs w:val="24"/>
        </w:rPr>
        <w:t xml:space="preserve">EU </w:t>
      </w:r>
    </w:p>
    <w:p w14:paraId="34287547" w14:textId="50E75B44" w:rsidR="002B5A4B" w:rsidRPr="00CE2215" w:rsidRDefault="00B73FA1" w:rsidP="00323911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E2215">
        <w:rPr>
          <w:rFonts w:ascii="Arial" w:eastAsia="Times New Roman" w:hAnsi="Arial" w:cs="Arial"/>
          <w:sz w:val="24"/>
          <w:szCs w:val="24"/>
        </w:rPr>
        <w:t>JL(R)S</w:t>
      </w:r>
      <w:r w:rsidR="001E4D53" w:rsidRPr="00CE2215">
        <w:rPr>
          <w:rFonts w:ascii="Arial" w:eastAsia="Times New Roman" w:hAnsi="Arial" w:cs="Arial"/>
          <w:sz w:val="24"/>
          <w:szCs w:val="24"/>
        </w:rPr>
        <w:t xml:space="preserve"> na čijem se području nalazi istražni prostor ili eksploatacijsko polje dužne su u roku od osam dana od zaprimanja dozvole za istraživanje, dozvole za eksploataciju i rješenja o utvrđivanju eksploatacijskog polja objaviti čitav sadržaj na svojim mrežnim stranicama radi informiranja javnosti.</w:t>
      </w:r>
      <w:r w:rsidR="00CE2215" w:rsidRPr="00CE2215">
        <w:rPr>
          <w:rFonts w:ascii="Arial" w:eastAsia="Times New Roman" w:hAnsi="Arial" w:cs="Arial"/>
          <w:sz w:val="24"/>
          <w:szCs w:val="24"/>
        </w:rPr>
        <w:t xml:space="preserve"> </w:t>
      </w:r>
      <w:r w:rsidR="00665786">
        <w:rPr>
          <w:rFonts w:ascii="Arial" w:eastAsia="Times New Roman" w:hAnsi="Arial" w:cs="Arial"/>
          <w:sz w:val="24"/>
          <w:szCs w:val="24"/>
        </w:rPr>
        <w:t>Tijekom 2025. godine Općina Sirač nije zaprimila predmet</w:t>
      </w:r>
      <w:r w:rsidR="00840B40">
        <w:rPr>
          <w:rFonts w:ascii="Arial" w:eastAsia="Times New Roman" w:hAnsi="Arial" w:cs="Arial"/>
          <w:sz w:val="24"/>
          <w:szCs w:val="24"/>
        </w:rPr>
        <w:t>n</w:t>
      </w:r>
      <w:r w:rsidR="00665786">
        <w:rPr>
          <w:rFonts w:ascii="Arial" w:eastAsia="Times New Roman" w:hAnsi="Arial" w:cs="Arial"/>
          <w:sz w:val="24"/>
          <w:szCs w:val="24"/>
        </w:rPr>
        <w:t>e dokumente te ist</w:t>
      </w:r>
      <w:r w:rsidR="00840B40">
        <w:rPr>
          <w:rFonts w:ascii="Arial" w:eastAsia="Times New Roman" w:hAnsi="Arial" w:cs="Arial"/>
          <w:sz w:val="24"/>
          <w:szCs w:val="24"/>
        </w:rPr>
        <w:t>e</w:t>
      </w:r>
      <w:r w:rsidR="00665786">
        <w:rPr>
          <w:rFonts w:ascii="Arial" w:eastAsia="Times New Roman" w:hAnsi="Arial" w:cs="Arial"/>
          <w:sz w:val="24"/>
          <w:szCs w:val="24"/>
        </w:rPr>
        <w:t xml:space="preserve"> nije ni objavljivala</w:t>
      </w:r>
      <w:r w:rsidR="00CE2215" w:rsidRPr="00CE2215">
        <w:rPr>
          <w:rFonts w:ascii="Arial" w:eastAsia="Times New Roman" w:hAnsi="Arial" w:cs="Arial"/>
          <w:sz w:val="24"/>
          <w:szCs w:val="24"/>
        </w:rPr>
        <w:t>.</w:t>
      </w:r>
    </w:p>
    <w:p w14:paraId="661E480F" w14:textId="0C19E683" w:rsidR="00EF20E1" w:rsidRPr="0027510D" w:rsidRDefault="00CE2215" w:rsidP="00CE2215">
      <w:pPr>
        <w:pStyle w:val="Opisslike"/>
        <w:tabs>
          <w:tab w:val="left" w:pos="709"/>
          <w:tab w:val="center" w:pos="4535"/>
        </w:tabs>
        <w:spacing w:after="0"/>
        <w:jc w:val="both"/>
        <w:rPr>
          <w:rFonts w:ascii="Arial" w:hAnsi="Arial" w:cs="Arial"/>
          <w:b w:val="0"/>
          <w:bCs w:val="0"/>
          <w:color w:val="auto"/>
          <w:sz w:val="23"/>
          <w:szCs w:val="23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ab/>
      </w:r>
      <w:r w:rsidR="00EF20E1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>Tijekom 202</w:t>
      </w:r>
      <w:r w:rsidR="00665786">
        <w:rPr>
          <w:rFonts w:ascii="Arial" w:hAnsi="Arial" w:cs="Arial"/>
          <w:b w:val="0"/>
          <w:bCs w:val="0"/>
          <w:color w:val="auto"/>
          <w:sz w:val="24"/>
          <w:szCs w:val="24"/>
        </w:rPr>
        <w:t>5</w:t>
      </w:r>
      <w:r w:rsidR="00EF20E1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. godine, Općina </w:t>
      </w:r>
      <w:r w:rsidR="00F46483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>Sirač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rješavala je </w:t>
      </w:r>
      <w:r w:rsidR="00EF20E1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>imovinsko-pravn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a</w:t>
      </w:r>
      <w:r w:rsidR="00EF20E1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pitanja</w:t>
      </w:r>
      <w:r w:rsidR="00DD74BB" w:rsidRPr="0027510D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vezana za zemljište potrebno za izgradnju pročistač</w:t>
      </w:r>
      <w:r w:rsidR="006657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a. </w:t>
      </w:r>
    </w:p>
    <w:p w14:paraId="32BF5140" w14:textId="77777777" w:rsidR="00284947" w:rsidRDefault="00284947" w:rsidP="00EF20E1">
      <w:pPr>
        <w:jc w:val="both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709CCA01" w14:textId="22E3D04F" w:rsidR="00180371" w:rsidRPr="009A192C" w:rsidRDefault="00443F7A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7" w:name="_Toc150347720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PROVOĐENJA POSTUPAKA PROCJENE IMOVINE U VLASNIŠTVU OPĆINE </w:t>
      </w:r>
      <w:r w:rsidR="00F46483">
        <w:rPr>
          <w:rFonts w:ascii="Arial" w:hAnsi="Arial" w:cs="Arial"/>
          <w:color w:val="auto"/>
        </w:rPr>
        <w:t>SIRAČ</w:t>
      </w:r>
      <w:bookmarkEnd w:id="7"/>
    </w:p>
    <w:p w14:paraId="49FE8CB0" w14:textId="7614BEA9" w:rsidR="0089567B" w:rsidRDefault="008B093B" w:rsidP="008B093B">
      <w:pPr>
        <w:ind w:firstLine="709"/>
        <w:jc w:val="both"/>
        <w:rPr>
          <w:rFonts w:ascii="Arial" w:hAnsi="Arial" w:cs="Arial"/>
          <w:sz w:val="24"/>
          <w:szCs w:val="24"/>
        </w:rPr>
      </w:pPr>
      <w:hyperlink r:id="rId16" w:history="1">
        <w:r w:rsidRPr="00801E11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Zakon</w:t>
        </w:r>
        <w:r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om</w:t>
        </w:r>
        <w:r w:rsidRPr="00801E11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 o procjeni </w:t>
        </w:r>
        <w:r w:rsidR="00E71198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 xml:space="preserve">vrijednosti </w:t>
        </w:r>
        <w:r w:rsidRPr="00801E11">
          <w:rPr>
            <w:rStyle w:val="Hiperveza"/>
            <w:rFonts w:ascii="Arial" w:hAnsi="Arial" w:cs="Arial"/>
            <w:color w:val="auto"/>
            <w:sz w:val="24"/>
            <w:szCs w:val="24"/>
            <w:u w:val="none"/>
          </w:rPr>
          <w:t>nekretnina (»Narodne novine«, broj 78/15)</w:t>
        </w:r>
      </w:hyperlink>
      <w:r w:rsidRPr="00801E11">
        <w:rPr>
          <w:rFonts w:ascii="Arial" w:hAnsi="Arial" w:cs="Arial"/>
          <w:sz w:val="24"/>
          <w:szCs w:val="24"/>
        </w:rPr>
        <w:t xml:space="preserve"> (dalje u tekstu: Zakon) uređuju</w:t>
      </w:r>
      <w:r>
        <w:rPr>
          <w:rFonts w:ascii="Arial" w:hAnsi="Arial" w:cs="Arial"/>
          <w:sz w:val="24"/>
          <w:szCs w:val="24"/>
        </w:rPr>
        <w:t xml:space="preserve"> se</w:t>
      </w:r>
      <w:r w:rsidRPr="00801E11">
        <w:rPr>
          <w:rFonts w:ascii="Arial" w:hAnsi="Arial" w:cs="Arial"/>
          <w:sz w:val="24"/>
          <w:szCs w:val="24"/>
        </w:rPr>
        <w:t xml:space="preserve"> osnovni pojmovi iz područja procjena vrijednosti nekretnina, određuju se procjenitelji, sastav i nadležnosti procjeniteljskih povjerenstava i visokog procjeniteljskog povjerenstva, nadležnosti upravnih tijela županija, Grada Zagreba i velikoga grada u provedbi ovoga Zakona, metode procjenjivanja vrijednosti nekretnina, način procjene vrijednosti prava i tereta koji utječu na vrijednost nekretnine, način procjene iznosa naknade za izvlaštene nekretnine, način prikupljanja, evidentiranja, evaluacija i izdavanje podataka potrebnih za procjene vrijednosti nekretnina za sve nekretnine u Republici Hrvatskoj, neovisno u čijem su vlasništvu. </w:t>
      </w:r>
    </w:p>
    <w:p w14:paraId="61439BB3" w14:textId="265E9A44" w:rsidR="008B093B" w:rsidRDefault="008B093B" w:rsidP="0089567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</w:t>
      </w:r>
      <w:r w:rsidRPr="00EF795A">
        <w:rPr>
          <w:rFonts w:ascii="Arial" w:hAnsi="Arial" w:cs="Arial"/>
          <w:sz w:val="24"/>
          <w:szCs w:val="24"/>
        </w:rPr>
        <w:t>Strat</w:t>
      </w:r>
      <w:r>
        <w:rPr>
          <w:rFonts w:ascii="Arial" w:hAnsi="Arial" w:cs="Arial"/>
          <w:sz w:val="24"/>
          <w:szCs w:val="24"/>
        </w:rPr>
        <w:t>egiji</w:t>
      </w:r>
      <w:r w:rsidRPr="00EF795A">
        <w:rPr>
          <w:rFonts w:ascii="Arial" w:hAnsi="Arial" w:cs="Arial"/>
          <w:sz w:val="24"/>
          <w:szCs w:val="24"/>
        </w:rPr>
        <w:t xml:space="preserve"> upravljanja imovinom </w:t>
      </w:r>
      <w:r>
        <w:rPr>
          <w:rFonts w:ascii="Arial" w:hAnsi="Arial" w:cs="Arial"/>
          <w:sz w:val="24"/>
          <w:szCs w:val="24"/>
        </w:rPr>
        <w:t xml:space="preserve">u vlasništvu </w:t>
      </w:r>
      <w:r w:rsidRPr="00EF795A">
        <w:rPr>
          <w:rFonts w:ascii="Arial" w:hAnsi="Arial" w:cs="Arial"/>
          <w:sz w:val="24"/>
          <w:szCs w:val="24"/>
        </w:rPr>
        <w:t xml:space="preserve">Općine </w:t>
      </w:r>
      <w:r w:rsidR="00F46483">
        <w:rPr>
          <w:rFonts w:ascii="Arial" w:hAnsi="Arial" w:cs="Arial"/>
          <w:sz w:val="24"/>
          <w:szCs w:val="24"/>
        </w:rPr>
        <w:t>Sirač</w:t>
      </w:r>
      <w:r w:rsidR="002D0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razdoblje od 20</w:t>
      </w:r>
      <w:r w:rsidR="002D0AB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do 202</w:t>
      </w:r>
      <w:r w:rsidR="002D0AB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godine, p</w:t>
      </w:r>
      <w:r w:rsidRPr="00EF795A">
        <w:rPr>
          <w:rFonts w:ascii="Arial" w:hAnsi="Arial" w:cs="Arial"/>
          <w:sz w:val="24"/>
          <w:szCs w:val="24"/>
        </w:rPr>
        <w:t xml:space="preserve">rocjena potencijala imovine Općine </w:t>
      </w:r>
      <w:r w:rsidR="00F46483">
        <w:rPr>
          <w:rFonts w:ascii="Arial" w:hAnsi="Arial" w:cs="Arial"/>
          <w:sz w:val="24"/>
          <w:szCs w:val="24"/>
        </w:rPr>
        <w:t>Sirač</w:t>
      </w:r>
      <w:r w:rsidRPr="00EF795A">
        <w:rPr>
          <w:rFonts w:ascii="Arial" w:hAnsi="Arial" w:cs="Arial"/>
          <w:sz w:val="24"/>
          <w:szCs w:val="24"/>
        </w:rPr>
        <w:t xml:space="preserve"> mora se zasnivati na snimanju, popisu i ocjeni realnog stanja. Izrada evidencija imovine je početak, a ocjena njenog razvojnog potencijala i procjena vrijednosti je sljedeća aktivnost.</w:t>
      </w:r>
    </w:p>
    <w:p w14:paraId="5C5E007F" w14:textId="635EACFD" w:rsidR="00FF1A78" w:rsidRDefault="008B093B" w:rsidP="008956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961B5">
        <w:rPr>
          <w:rFonts w:ascii="Arial" w:hAnsi="Arial" w:cs="Arial"/>
          <w:sz w:val="24"/>
          <w:szCs w:val="24"/>
        </w:rPr>
        <w:t xml:space="preserve">Općina </w:t>
      </w:r>
      <w:r w:rsidR="00F46483" w:rsidRPr="009961B5">
        <w:rPr>
          <w:rFonts w:ascii="Arial" w:hAnsi="Arial" w:cs="Arial"/>
          <w:sz w:val="24"/>
          <w:szCs w:val="24"/>
        </w:rPr>
        <w:t>Sirač</w:t>
      </w:r>
      <w:r w:rsidRPr="009961B5">
        <w:rPr>
          <w:rFonts w:ascii="Arial" w:hAnsi="Arial" w:cs="Arial"/>
          <w:sz w:val="24"/>
          <w:szCs w:val="24"/>
        </w:rPr>
        <w:t xml:space="preserve"> </w:t>
      </w:r>
      <w:r w:rsidR="00443F7A">
        <w:rPr>
          <w:rFonts w:ascii="Arial" w:hAnsi="Arial" w:cs="Arial"/>
          <w:sz w:val="24"/>
          <w:szCs w:val="24"/>
        </w:rPr>
        <w:t>tijekom 202</w:t>
      </w:r>
      <w:r w:rsidR="00C045E6">
        <w:rPr>
          <w:rFonts w:ascii="Arial" w:hAnsi="Arial" w:cs="Arial"/>
          <w:sz w:val="24"/>
          <w:szCs w:val="24"/>
        </w:rPr>
        <w:t>5</w:t>
      </w:r>
      <w:r w:rsidR="00443F7A">
        <w:rPr>
          <w:rFonts w:ascii="Arial" w:hAnsi="Arial" w:cs="Arial"/>
          <w:sz w:val="24"/>
          <w:szCs w:val="24"/>
        </w:rPr>
        <w:t xml:space="preserve">. godine vršila je procjenu vrijednosti </w:t>
      </w:r>
      <w:r w:rsidR="00FF1A78">
        <w:rPr>
          <w:rFonts w:ascii="Arial" w:hAnsi="Arial" w:cs="Arial"/>
          <w:sz w:val="24"/>
          <w:szCs w:val="24"/>
        </w:rPr>
        <w:t xml:space="preserve">imovine za koju </w:t>
      </w:r>
      <w:r w:rsidR="008721EA">
        <w:rPr>
          <w:rFonts w:ascii="Arial" w:hAnsi="Arial" w:cs="Arial"/>
          <w:sz w:val="24"/>
          <w:szCs w:val="24"/>
        </w:rPr>
        <w:t>s</w:t>
      </w:r>
      <w:r w:rsidR="00FF1A78">
        <w:rPr>
          <w:rFonts w:ascii="Arial" w:hAnsi="Arial" w:cs="Arial"/>
          <w:sz w:val="24"/>
          <w:szCs w:val="24"/>
        </w:rPr>
        <w:t xml:space="preserve">e </w:t>
      </w:r>
      <w:r w:rsidR="008721EA" w:rsidRPr="008721EA">
        <w:rPr>
          <w:rFonts w:ascii="Arial" w:hAnsi="Arial" w:cs="Arial"/>
          <w:sz w:val="24"/>
          <w:szCs w:val="24"/>
        </w:rPr>
        <w:t>tijekom popisa imovine 202</w:t>
      </w:r>
      <w:r w:rsidR="00C045E6">
        <w:rPr>
          <w:rFonts w:ascii="Arial" w:hAnsi="Arial" w:cs="Arial"/>
          <w:sz w:val="24"/>
          <w:szCs w:val="24"/>
        </w:rPr>
        <w:t>4</w:t>
      </w:r>
      <w:r w:rsidR="008721EA" w:rsidRPr="008721EA">
        <w:rPr>
          <w:rFonts w:ascii="Arial" w:hAnsi="Arial" w:cs="Arial"/>
          <w:sz w:val="24"/>
          <w:szCs w:val="24"/>
        </w:rPr>
        <w:t>. godin</w:t>
      </w:r>
      <w:r w:rsidR="00A81174">
        <w:rPr>
          <w:rFonts w:ascii="Arial" w:hAnsi="Arial" w:cs="Arial"/>
          <w:sz w:val="24"/>
          <w:szCs w:val="24"/>
        </w:rPr>
        <w:t>e</w:t>
      </w:r>
      <w:r w:rsidR="008721EA" w:rsidRPr="008721EA">
        <w:rPr>
          <w:rFonts w:ascii="Arial" w:hAnsi="Arial" w:cs="Arial"/>
          <w:sz w:val="24"/>
          <w:szCs w:val="24"/>
        </w:rPr>
        <w:t xml:space="preserve"> utvrdilo da nije evidentiran</w:t>
      </w:r>
      <w:r w:rsidR="00C045E6">
        <w:rPr>
          <w:rFonts w:ascii="Arial" w:hAnsi="Arial" w:cs="Arial"/>
          <w:sz w:val="24"/>
          <w:szCs w:val="24"/>
        </w:rPr>
        <w:t>a.</w:t>
      </w:r>
    </w:p>
    <w:p w14:paraId="79B91D5B" w14:textId="76313B42" w:rsidR="003909E8" w:rsidRDefault="008721EA" w:rsidP="0089567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Procjena je vršena </w:t>
      </w:r>
      <w:r w:rsidR="008931A8">
        <w:rPr>
          <w:rFonts w:ascii="Arial" w:hAnsi="Arial" w:cs="Arial"/>
          <w:sz w:val="24"/>
          <w:szCs w:val="24"/>
        </w:rPr>
        <w:t xml:space="preserve">sukladno </w:t>
      </w:r>
      <w:r w:rsidR="00A81174">
        <w:rPr>
          <w:rFonts w:ascii="Arial" w:hAnsi="Arial" w:cs="Arial"/>
          <w:sz w:val="24"/>
          <w:szCs w:val="24"/>
        </w:rPr>
        <w:t>Uputi Ministarstva financija o priznavanju, mjerenju i evidentiranju imovine u vlasništvu Republike Hrvatske</w:t>
      </w:r>
      <w:r w:rsidR="00C045E6">
        <w:rPr>
          <w:rFonts w:ascii="Arial" w:hAnsi="Arial" w:cs="Arial"/>
          <w:sz w:val="24"/>
          <w:szCs w:val="24"/>
        </w:rPr>
        <w:t>.</w:t>
      </w:r>
    </w:p>
    <w:p w14:paraId="0164D7E0" w14:textId="6A96DE22" w:rsidR="00A81174" w:rsidRPr="009961B5" w:rsidRDefault="00A81174" w:rsidP="0089567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Imovina koja je u 202</w:t>
      </w:r>
      <w:r w:rsidR="00C045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bila predmet prodaje procjenjivala se po ovlaštenom sudskom vještaku sukladno zakonskim odredbama.</w:t>
      </w:r>
    </w:p>
    <w:p w14:paraId="4DA82B83" w14:textId="77777777" w:rsidR="003909E8" w:rsidRDefault="003909E8" w:rsidP="0089567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79A1961" w14:textId="59BB428B" w:rsidR="00284947" w:rsidRDefault="00284947" w:rsidP="0089567B">
      <w:pPr>
        <w:ind w:firstLine="709"/>
        <w:jc w:val="both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7DCC8171" w14:textId="5542F058" w:rsidR="00180371" w:rsidRPr="009A192C" w:rsidRDefault="00443F7A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8" w:name="_Toc150347721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RJEŠAVANJA IMOVINSKO-PRAVNIH </w:t>
      </w:r>
      <w:r w:rsidR="00530EE5">
        <w:rPr>
          <w:rFonts w:ascii="Arial" w:hAnsi="Arial" w:cs="Arial"/>
          <w:color w:val="auto"/>
        </w:rPr>
        <w:t xml:space="preserve">ODNOSA </w:t>
      </w:r>
      <w:r w:rsidR="00180371" w:rsidRPr="009A192C">
        <w:rPr>
          <w:rFonts w:ascii="Arial" w:hAnsi="Arial" w:cs="Arial"/>
          <w:color w:val="auto"/>
        </w:rPr>
        <w:t xml:space="preserve">OPĆINE </w:t>
      </w:r>
      <w:r w:rsidR="00F46483">
        <w:rPr>
          <w:rFonts w:ascii="Arial" w:hAnsi="Arial" w:cs="Arial"/>
          <w:color w:val="auto"/>
        </w:rPr>
        <w:t>SIRAČ</w:t>
      </w:r>
      <w:bookmarkEnd w:id="8"/>
    </w:p>
    <w:p w14:paraId="298EB8C6" w14:textId="2ABA7BE4" w:rsidR="007D3E3D" w:rsidRDefault="007D3E3D" w:rsidP="000810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E3D">
        <w:rPr>
          <w:rFonts w:ascii="Arial" w:hAnsi="Arial" w:cs="Arial"/>
          <w:sz w:val="24"/>
          <w:szCs w:val="24"/>
        </w:rPr>
        <w:t>Imovinsko-pravni odnosi na nekretninama u</w:t>
      </w:r>
      <w:r w:rsidR="00A81174">
        <w:rPr>
          <w:rFonts w:ascii="Arial" w:hAnsi="Arial" w:cs="Arial"/>
          <w:sz w:val="24"/>
          <w:szCs w:val="24"/>
        </w:rPr>
        <w:t xml:space="preserve">glavnom </w:t>
      </w:r>
      <w:r w:rsidRPr="007D3E3D">
        <w:rPr>
          <w:rFonts w:ascii="Arial" w:hAnsi="Arial" w:cs="Arial"/>
          <w:sz w:val="24"/>
          <w:szCs w:val="24"/>
        </w:rPr>
        <w:t xml:space="preserve">su vezani uz izgradnju </w:t>
      </w:r>
      <w:proofErr w:type="spellStart"/>
      <w:r w:rsidR="00ED38C8">
        <w:rPr>
          <w:rFonts w:ascii="Arial" w:hAnsi="Arial" w:cs="Arial"/>
          <w:sz w:val="24"/>
          <w:szCs w:val="24"/>
        </w:rPr>
        <w:t>odnoso</w:t>
      </w:r>
      <w:proofErr w:type="spellEnd"/>
      <w:r w:rsidR="00ED38C8">
        <w:rPr>
          <w:rFonts w:ascii="Arial" w:hAnsi="Arial" w:cs="Arial"/>
          <w:sz w:val="24"/>
          <w:szCs w:val="24"/>
        </w:rPr>
        <w:t xml:space="preserve"> rekonstrukciju </w:t>
      </w:r>
      <w:r w:rsidRPr="007D3E3D">
        <w:rPr>
          <w:rFonts w:ascii="Arial" w:hAnsi="Arial" w:cs="Arial"/>
          <w:sz w:val="24"/>
          <w:szCs w:val="24"/>
        </w:rPr>
        <w:t>infrastrukture, bilo da se radi o visokogradnji ili o niskogradnji. Činjenica je da je za uspješnu provedbu svakog takvog projekta nužno uređeno stanje zemljišnih knjiga i katastra. No, također poznato je da stanje tih dviju evidencija u mnogim područjima Republike Hrvatske nije usklađeno, kao i da njihovo stanje često ne odgovara stanju u stvarnosti. Upravo takvi neuređeni i neriješeni imovinsko-pravni odnosi predstavljaju ozbiljnu prepreku u provedbi projekata, što posljedično dovodi u pitanje rokove u kojima je moguće povući sredstva iz europskih fondova te konačno i samo ostvarenje pojedinog projekta</w:t>
      </w:r>
      <w:r w:rsidR="00D92525">
        <w:rPr>
          <w:rFonts w:ascii="Arial" w:hAnsi="Arial" w:cs="Arial"/>
          <w:sz w:val="24"/>
          <w:szCs w:val="24"/>
        </w:rPr>
        <w:t>.</w:t>
      </w:r>
    </w:p>
    <w:p w14:paraId="0AA8CB08" w14:textId="0FC04197" w:rsidR="0077313C" w:rsidRDefault="007D3E3D" w:rsidP="000810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E3D">
        <w:rPr>
          <w:rFonts w:ascii="Arial" w:hAnsi="Arial" w:cs="Arial"/>
          <w:sz w:val="24"/>
          <w:szCs w:val="24"/>
        </w:rPr>
        <w:t xml:space="preserve">Cilj je nekretnine dovesti u stanje imovinskopravne, prostorno-planske i funkcionalno-tržišne sposobnosti. </w:t>
      </w:r>
    </w:p>
    <w:p w14:paraId="0881ACE1" w14:textId="584EBC49" w:rsidR="00225197" w:rsidRDefault="0077313C" w:rsidP="0008103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</w:t>
      </w:r>
      <w:r w:rsidR="00F46483">
        <w:rPr>
          <w:rFonts w:ascii="Arial" w:hAnsi="Arial" w:cs="Arial"/>
          <w:sz w:val="24"/>
          <w:szCs w:val="24"/>
        </w:rPr>
        <w:t>Sirač</w:t>
      </w:r>
      <w:r w:rsidR="009961B5">
        <w:rPr>
          <w:rFonts w:ascii="Arial" w:hAnsi="Arial" w:cs="Arial"/>
          <w:sz w:val="24"/>
          <w:szCs w:val="24"/>
        </w:rPr>
        <w:t xml:space="preserve"> </w:t>
      </w:r>
      <w:r w:rsidR="00225197">
        <w:rPr>
          <w:rFonts w:ascii="Arial" w:hAnsi="Arial" w:cs="Arial"/>
          <w:sz w:val="24"/>
          <w:szCs w:val="24"/>
        </w:rPr>
        <w:t>a</w:t>
      </w:r>
      <w:r w:rsidR="002D0ABD">
        <w:rPr>
          <w:rFonts w:ascii="Arial" w:hAnsi="Arial" w:cs="Arial"/>
          <w:sz w:val="24"/>
          <w:szCs w:val="24"/>
        </w:rPr>
        <w:t>n</w:t>
      </w:r>
      <w:r w:rsidR="00C045E6">
        <w:rPr>
          <w:rFonts w:ascii="Arial" w:hAnsi="Arial" w:cs="Arial"/>
          <w:sz w:val="24"/>
          <w:szCs w:val="24"/>
        </w:rPr>
        <w:t>a</w:t>
      </w:r>
      <w:r w:rsidR="00225197">
        <w:rPr>
          <w:rFonts w:ascii="Arial" w:hAnsi="Arial" w:cs="Arial"/>
          <w:sz w:val="24"/>
          <w:szCs w:val="24"/>
        </w:rPr>
        <w:t>lizom je utvrdila neuređenost katastarskih čestica nerazvrstanih cesta</w:t>
      </w:r>
      <w:r w:rsidR="008721E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045E6">
        <w:rPr>
          <w:rFonts w:ascii="Arial" w:hAnsi="Arial" w:cs="Arial"/>
          <w:sz w:val="24"/>
          <w:szCs w:val="24"/>
        </w:rPr>
        <w:t>R</w:t>
      </w:r>
      <w:r w:rsidR="00C045E6">
        <w:rPr>
          <w:rFonts w:ascii="Arial" w:hAnsi="Arial" w:cs="Arial"/>
          <w:sz w:val="24"/>
          <w:szCs w:val="24"/>
        </w:rPr>
        <w:t>iješ</w:t>
      </w:r>
      <w:r w:rsidR="00C045E6">
        <w:rPr>
          <w:rFonts w:ascii="Arial" w:hAnsi="Arial" w:cs="Arial"/>
          <w:sz w:val="24"/>
          <w:szCs w:val="24"/>
        </w:rPr>
        <w:t>avanje</w:t>
      </w:r>
      <w:proofErr w:type="spellEnd"/>
      <w:r w:rsidR="00C045E6">
        <w:rPr>
          <w:rFonts w:ascii="Arial" w:hAnsi="Arial" w:cs="Arial"/>
          <w:sz w:val="24"/>
          <w:szCs w:val="24"/>
        </w:rPr>
        <w:t xml:space="preserve"> imovinsko-pravni</w:t>
      </w:r>
      <w:r w:rsidR="00C045E6">
        <w:rPr>
          <w:rFonts w:ascii="Arial" w:hAnsi="Arial" w:cs="Arial"/>
          <w:sz w:val="24"/>
          <w:szCs w:val="24"/>
        </w:rPr>
        <w:t>h</w:t>
      </w:r>
      <w:r w:rsidR="00C045E6">
        <w:rPr>
          <w:rFonts w:ascii="Arial" w:hAnsi="Arial" w:cs="Arial"/>
          <w:sz w:val="24"/>
          <w:szCs w:val="24"/>
        </w:rPr>
        <w:t xml:space="preserve"> odnos</w:t>
      </w:r>
      <w:r w:rsidR="00C045E6">
        <w:rPr>
          <w:rFonts w:ascii="Arial" w:hAnsi="Arial" w:cs="Arial"/>
          <w:sz w:val="24"/>
          <w:szCs w:val="24"/>
        </w:rPr>
        <w:t>a vrši se</w:t>
      </w:r>
      <w:r w:rsidR="00C045E6">
        <w:rPr>
          <w:rFonts w:ascii="Arial" w:hAnsi="Arial" w:cs="Arial"/>
          <w:sz w:val="24"/>
          <w:szCs w:val="24"/>
        </w:rPr>
        <w:t xml:space="preserve"> sukladno proračunskim mogućnostima</w:t>
      </w:r>
      <w:r w:rsidR="00225197">
        <w:rPr>
          <w:rFonts w:ascii="Arial" w:hAnsi="Arial" w:cs="Arial"/>
          <w:sz w:val="24"/>
          <w:szCs w:val="24"/>
        </w:rPr>
        <w:t xml:space="preserve">. </w:t>
      </w:r>
    </w:p>
    <w:p w14:paraId="71D1E557" w14:textId="77777777" w:rsidR="007D3E3D" w:rsidRPr="00F73695" w:rsidRDefault="007D3E3D" w:rsidP="00225197">
      <w:pPr>
        <w:pStyle w:val="Opisslike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3695">
        <w:rPr>
          <w:rFonts w:ascii="Arial" w:hAnsi="Arial" w:cs="Arial"/>
          <w:b w:val="0"/>
          <w:color w:val="auto"/>
          <w:sz w:val="24"/>
          <w:szCs w:val="24"/>
        </w:rPr>
        <w:br w:type="page"/>
      </w:r>
    </w:p>
    <w:p w14:paraId="1C581DE3" w14:textId="1DC42840" w:rsidR="00180371" w:rsidRPr="00987B2E" w:rsidRDefault="00ED38C8" w:rsidP="00987B2E">
      <w:pPr>
        <w:pStyle w:val="Naslov1"/>
        <w:numPr>
          <w:ilvl w:val="0"/>
          <w:numId w:val="4"/>
        </w:numPr>
        <w:tabs>
          <w:tab w:val="left" w:pos="851"/>
        </w:tabs>
        <w:spacing w:before="0"/>
        <w:ind w:left="850" w:hanging="493"/>
        <w:jc w:val="both"/>
        <w:rPr>
          <w:rFonts w:ascii="Arial" w:hAnsi="Arial" w:cs="Arial"/>
          <w:color w:val="auto"/>
        </w:rPr>
      </w:pPr>
      <w:bookmarkStart w:id="9" w:name="_Toc150347722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PROVEDBE PROJEKATA</w:t>
      </w:r>
      <w:r w:rsidR="00ED448D">
        <w:rPr>
          <w:rFonts w:ascii="Arial" w:hAnsi="Arial" w:cs="Arial"/>
          <w:color w:val="auto"/>
        </w:rPr>
        <w:t xml:space="preserve"> </w:t>
      </w:r>
      <w:r w:rsidR="00180371" w:rsidRPr="00987B2E">
        <w:rPr>
          <w:rFonts w:ascii="Arial" w:hAnsi="Arial" w:cs="Arial"/>
          <w:color w:val="auto"/>
        </w:rPr>
        <w:t xml:space="preserve">JAVNO-PRIVATNOG PARTNERSTVA OPĆINE </w:t>
      </w:r>
      <w:r w:rsidR="00F46483">
        <w:rPr>
          <w:rFonts w:ascii="Arial" w:hAnsi="Arial" w:cs="Arial"/>
          <w:color w:val="auto"/>
        </w:rPr>
        <w:t>SIRAČ</w:t>
      </w:r>
      <w:bookmarkEnd w:id="9"/>
    </w:p>
    <w:p w14:paraId="7B7F5ADD" w14:textId="77777777" w:rsidR="00987B2E" w:rsidRDefault="00987B2E" w:rsidP="00987B2E">
      <w:pPr>
        <w:spacing w:after="0"/>
        <w:jc w:val="both"/>
      </w:pPr>
    </w:p>
    <w:p w14:paraId="2AFA4366" w14:textId="77777777" w:rsidR="00451AFC" w:rsidRPr="00451AFC" w:rsidRDefault="00451AFC" w:rsidP="001F66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1AFC">
        <w:rPr>
          <w:rFonts w:ascii="Arial" w:hAnsi="Arial" w:cs="Arial"/>
          <w:sz w:val="24"/>
          <w:szCs w:val="24"/>
        </w:rPr>
        <w:t xml:space="preserve">Javno-privatno partnerstvo podrazumijeva </w:t>
      </w:r>
      <w:r w:rsidR="000F6F85">
        <w:rPr>
          <w:rFonts w:ascii="Arial" w:hAnsi="Arial" w:cs="Arial"/>
          <w:sz w:val="24"/>
          <w:szCs w:val="24"/>
        </w:rPr>
        <w:t xml:space="preserve">međusobnu </w:t>
      </w:r>
      <w:r w:rsidRPr="00451AFC">
        <w:rPr>
          <w:rFonts w:ascii="Arial" w:hAnsi="Arial" w:cs="Arial"/>
          <w:sz w:val="24"/>
          <w:szCs w:val="24"/>
        </w:rPr>
        <w:t>suradnju</w:t>
      </w:r>
      <w:r w:rsidR="000F6F85">
        <w:rPr>
          <w:rFonts w:ascii="Arial" w:hAnsi="Arial" w:cs="Arial"/>
          <w:sz w:val="24"/>
          <w:szCs w:val="24"/>
        </w:rPr>
        <w:t xml:space="preserve"> privatnog sektora s</w:t>
      </w:r>
      <w:r w:rsidRPr="00451AFC">
        <w:rPr>
          <w:rFonts w:ascii="Arial" w:hAnsi="Arial" w:cs="Arial"/>
          <w:sz w:val="24"/>
          <w:szCs w:val="24"/>
        </w:rPr>
        <w:t xml:space="preserve"> tijel</w:t>
      </w:r>
      <w:r w:rsidR="000F6F85">
        <w:rPr>
          <w:rFonts w:ascii="Arial" w:hAnsi="Arial" w:cs="Arial"/>
          <w:sz w:val="24"/>
          <w:szCs w:val="24"/>
        </w:rPr>
        <w:t>om javne vlasti</w:t>
      </w:r>
      <w:r w:rsidR="001722B5">
        <w:rPr>
          <w:rFonts w:ascii="Arial" w:hAnsi="Arial" w:cs="Arial"/>
          <w:sz w:val="24"/>
          <w:szCs w:val="24"/>
        </w:rPr>
        <w:t xml:space="preserve"> </w:t>
      </w:r>
      <w:r w:rsidRPr="00451AFC">
        <w:rPr>
          <w:rFonts w:ascii="Arial" w:hAnsi="Arial" w:cs="Arial"/>
          <w:sz w:val="24"/>
          <w:szCs w:val="24"/>
        </w:rPr>
        <w:t>bilo na razini središnje ili</w:t>
      </w:r>
      <w:r w:rsidR="008420E6">
        <w:rPr>
          <w:rFonts w:ascii="Arial" w:hAnsi="Arial" w:cs="Arial"/>
          <w:sz w:val="24"/>
          <w:szCs w:val="24"/>
        </w:rPr>
        <w:t xml:space="preserve"> na razini lokalne zajednice </w:t>
      </w:r>
      <w:r w:rsidRPr="00451AFC">
        <w:rPr>
          <w:rFonts w:ascii="Arial" w:hAnsi="Arial" w:cs="Arial"/>
          <w:sz w:val="24"/>
          <w:szCs w:val="24"/>
        </w:rPr>
        <w:t>s ciljem zadovoljavanja neke javne potrebe.</w:t>
      </w:r>
    </w:p>
    <w:p w14:paraId="5DF86A62" w14:textId="77777777" w:rsidR="00430E6D" w:rsidRDefault="00451AFC" w:rsidP="001F66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51AFC">
        <w:rPr>
          <w:rFonts w:ascii="Arial" w:hAnsi="Arial" w:cs="Arial"/>
          <w:sz w:val="24"/>
          <w:szCs w:val="24"/>
        </w:rPr>
        <w:t>Cilj suradnje javnog i privatnog</w:t>
      </w:r>
      <w:r w:rsidR="009B3F38">
        <w:rPr>
          <w:rFonts w:ascii="Arial" w:hAnsi="Arial" w:cs="Arial"/>
          <w:sz w:val="24"/>
          <w:szCs w:val="24"/>
        </w:rPr>
        <w:t xml:space="preserve"> sektora</w:t>
      </w:r>
      <w:r w:rsidR="001722B5">
        <w:rPr>
          <w:rFonts w:ascii="Arial" w:hAnsi="Arial" w:cs="Arial"/>
          <w:sz w:val="24"/>
          <w:szCs w:val="24"/>
        </w:rPr>
        <w:t xml:space="preserve"> </w:t>
      </w:r>
      <w:r w:rsidR="000F6F85">
        <w:rPr>
          <w:rFonts w:ascii="Arial" w:hAnsi="Arial" w:cs="Arial"/>
          <w:sz w:val="24"/>
          <w:szCs w:val="24"/>
        </w:rPr>
        <w:t xml:space="preserve">ogleda se </w:t>
      </w:r>
      <w:r w:rsidR="001722B5">
        <w:rPr>
          <w:rFonts w:ascii="Arial" w:hAnsi="Arial" w:cs="Arial"/>
          <w:sz w:val="24"/>
          <w:szCs w:val="24"/>
        </w:rPr>
        <w:t xml:space="preserve">u </w:t>
      </w:r>
      <w:r w:rsidR="000F6F85">
        <w:rPr>
          <w:rFonts w:ascii="Arial" w:hAnsi="Arial" w:cs="Arial"/>
          <w:sz w:val="24"/>
          <w:szCs w:val="24"/>
        </w:rPr>
        <w:t>tome da se sredstva, znanje i iskustvo</w:t>
      </w:r>
      <w:r w:rsidRPr="00451AFC">
        <w:rPr>
          <w:rFonts w:ascii="Arial" w:hAnsi="Arial" w:cs="Arial"/>
          <w:sz w:val="24"/>
          <w:szCs w:val="24"/>
        </w:rPr>
        <w:t xml:space="preserve"> privatnog sektora stave na raspolaganje javnom</w:t>
      </w:r>
      <w:r w:rsidR="000F6F85">
        <w:rPr>
          <w:rFonts w:ascii="Arial" w:hAnsi="Arial" w:cs="Arial"/>
          <w:sz w:val="24"/>
          <w:szCs w:val="24"/>
        </w:rPr>
        <w:t xml:space="preserve"> sektor</w:t>
      </w:r>
      <w:r w:rsidR="009B3F38">
        <w:rPr>
          <w:rFonts w:ascii="Arial" w:hAnsi="Arial" w:cs="Arial"/>
          <w:sz w:val="24"/>
          <w:szCs w:val="24"/>
        </w:rPr>
        <w:t>u</w:t>
      </w:r>
      <w:r w:rsidR="001722B5">
        <w:rPr>
          <w:rFonts w:ascii="Arial" w:hAnsi="Arial" w:cs="Arial"/>
          <w:sz w:val="24"/>
          <w:szCs w:val="24"/>
        </w:rPr>
        <w:t xml:space="preserve"> </w:t>
      </w:r>
      <w:r w:rsidR="000F6F85">
        <w:rPr>
          <w:rFonts w:ascii="Arial" w:hAnsi="Arial" w:cs="Arial"/>
          <w:sz w:val="24"/>
          <w:szCs w:val="24"/>
        </w:rPr>
        <w:t>čime se može</w:t>
      </w:r>
      <w:r w:rsidRPr="00451AFC">
        <w:rPr>
          <w:rFonts w:ascii="Arial" w:hAnsi="Arial" w:cs="Arial"/>
          <w:sz w:val="24"/>
          <w:szCs w:val="24"/>
        </w:rPr>
        <w:t xml:space="preserve"> ostvari</w:t>
      </w:r>
      <w:r w:rsidR="000F6F85">
        <w:rPr>
          <w:rFonts w:ascii="Arial" w:hAnsi="Arial" w:cs="Arial"/>
          <w:sz w:val="24"/>
          <w:szCs w:val="24"/>
        </w:rPr>
        <w:t>ti</w:t>
      </w:r>
      <w:r w:rsidRPr="00451AFC">
        <w:rPr>
          <w:rFonts w:ascii="Arial" w:hAnsi="Arial" w:cs="Arial"/>
          <w:sz w:val="24"/>
          <w:szCs w:val="24"/>
        </w:rPr>
        <w:t xml:space="preserve"> doprinos infrastrukturnoj i uslužnoj ponudi javnog sektora. Javna vlast određuje ciljeve zajedničkih projekata vodeći pritom računa o javnom interesu i kvaliteti usluga</w:t>
      </w:r>
      <w:r>
        <w:rPr>
          <w:rFonts w:ascii="Arial" w:hAnsi="Arial" w:cs="Arial"/>
          <w:sz w:val="24"/>
          <w:szCs w:val="24"/>
        </w:rPr>
        <w:t>, a privatni partner zatvara fi</w:t>
      </w:r>
      <w:r w:rsidRPr="00451AFC">
        <w:rPr>
          <w:rFonts w:ascii="Arial" w:hAnsi="Arial" w:cs="Arial"/>
          <w:sz w:val="24"/>
          <w:szCs w:val="24"/>
        </w:rPr>
        <w:t xml:space="preserve">nancijsku konstrukciju, projektira i gradi projekte. </w:t>
      </w:r>
    </w:p>
    <w:p w14:paraId="4FD5B34F" w14:textId="35A6359A" w:rsidR="00225197" w:rsidRDefault="008420E6" w:rsidP="001F66A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C045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Općina </w:t>
      </w:r>
      <w:r w:rsidR="00F46483">
        <w:rPr>
          <w:rFonts w:ascii="Arial" w:hAnsi="Arial" w:cs="Arial"/>
          <w:sz w:val="24"/>
          <w:szCs w:val="24"/>
        </w:rPr>
        <w:t>Sirač</w:t>
      </w:r>
      <w:r>
        <w:rPr>
          <w:rFonts w:ascii="Arial" w:hAnsi="Arial" w:cs="Arial"/>
          <w:sz w:val="24"/>
          <w:szCs w:val="24"/>
        </w:rPr>
        <w:t xml:space="preserve"> </w:t>
      </w:r>
      <w:r w:rsidR="008721EA">
        <w:rPr>
          <w:rFonts w:ascii="Arial" w:hAnsi="Arial" w:cs="Arial"/>
          <w:sz w:val="24"/>
          <w:szCs w:val="24"/>
        </w:rPr>
        <w:t xml:space="preserve">nije imala namjeru niti je </w:t>
      </w:r>
      <w:r>
        <w:rPr>
          <w:rFonts w:ascii="Arial" w:hAnsi="Arial" w:cs="Arial"/>
          <w:sz w:val="24"/>
          <w:szCs w:val="24"/>
        </w:rPr>
        <w:t>ulazi</w:t>
      </w:r>
      <w:r w:rsidR="008721EA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u projekte javno-privatnog partnerstva.</w:t>
      </w:r>
    </w:p>
    <w:p w14:paraId="544CAB19" w14:textId="77777777" w:rsidR="00530EE5" w:rsidRPr="008420E6" w:rsidRDefault="00530EE5" w:rsidP="008420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1C4CD046" w14:textId="66EADC6C" w:rsidR="00180371" w:rsidRDefault="00ED38C8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10" w:name="_Toc150347723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VOĐENJA </w:t>
      </w:r>
      <w:r w:rsidR="00F26AE8">
        <w:rPr>
          <w:rFonts w:ascii="Arial" w:hAnsi="Arial" w:cs="Arial"/>
          <w:color w:val="auto"/>
        </w:rPr>
        <w:t>EVIDENCIJE IMOVINE</w:t>
      </w:r>
      <w:r w:rsidR="00180371" w:rsidRPr="009A192C">
        <w:rPr>
          <w:rFonts w:ascii="Arial" w:hAnsi="Arial" w:cs="Arial"/>
          <w:color w:val="auto"/>
        </w:rPr>
        <w:t xml:space="preserve"> OPĆINE </w:t>
      </w:r>
      <w:r w:rsidR="00F46483">
        <w:rPr>
          <w:rFonts w:ascii="Arial" w:hAnsi="Arial" w:cs="Arial"/>
          <w:color w:val="auto"/>
        </w:rPr>
        <w:t>SIRAČ</w:t>
      </w:r>
      <w:bookmarkEnd w:id="10"/>
    </w:p>
    <w:p w14:paraId="5D909390" w14:textId="2870F6BF" w:rsidR="00ED38C8" w:rsidRDefault="00ED38C8" w:rsidP="00CD466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Uspostava sveobuhvatnog popisa imovine bitna je za učinkovito upravljanje imovinom. Njegov ustroj i podatkovna nadogradnja dugogodišnji je proces koji se mora konstantno </w:t>
      </w:r>
      <w:r w:rsidR="004F2686">
        <w:rPr>
          <w:rFonts w:ascii="Arial" w:hAnsi="Arial" w:cs="Arial"/>
          <w:sz w:val="24"/>
          <w:szCs w:val="24"/>
        </w:rPr>
        <w:t>ažurirati</w:t>
      </w:r>
      <w:r>
        <w:rPr>
          <w:rFonts w:ascii="Arial" w:hAnsi="Arial" w:cs="Arial"/>
          <w:sz w:val="24"/>
          <w:szCs w:val="24"/>
        </w:rPr>
        <w:t>.</w:t>
      </w:r>
    </w:p>
    <w:p w14:paraId="0E439E08" w14:textId="2C8800E0" w:rsidR="00560554" w:rsidRPr="00AB6021" w:rsidRDefault="00560554" w:rsidP="00CD4667">
      <w:pPr>
        <w:ind w:firstLine="709"/>
        <w:jc w:val="both"/>
      </w:pPr>
      <w:r w:rsidRPr="00AB6021">
        <w:rPr>
          <w:rFonts w:ascii="Arial" w:hAnsi="Arial" w:cs="Arial"/>
          <w:sz w:val="24"/>
          <w:szCs w:val="24"/>
        </w:rPr>
        <w:t xml:space="preserve">Općina </w:t>
      </w:r>
      <w:r w:rsidR="00F46483">
        <w:rPr>
          <w:rFonts w:ascii="Arial" w:hAnsi="Arial" w:cs="Arial"/>
          <w:sz w:val="24"/>
          <w:szCs w:val="24"/>
        </w:rPr>
        <w:t>Sirač</w:t>
      </w:r>
      <w:r w:rsidRPr="00AB6021">
        <w:rPr>
          <w:rFonts w:ascii="Arial" w:hAnsi="Arial" w:cs="Arial"/>
          <w:sz w:val="24"/>
          <w:szCs w:val="24"/>
        </w:rPr>
        <w:t xml:space="preserve"> </w:t>
      </w:r>
      <w:r w:rsidR="00CC3EE8">
        <w:rPr>
          <w:rFonts w:ascii="Arial" w:hAnsi="Arial" w:cs="Arial"/>
          <w:sz w:val="24"/>
          <w:szCs w:val="24"/>
        </w:rPr>
        <w:t xml:space="preserve">izradila je </w:t>
      </w:r>
      <w:r w:rsidR="005C679F">
        <w:rPr>
          <w:rFonts w:ascii="Arial" w:hAnsi="Arial" w:cs="Arial"/>
          <w:sz w:val="24"/>
          <w:szCs w:val="24"/>
        </w:rPr>
        <w:t xml:space="preserve">Evidenciju </w:t>
      </w:r>
      <w:r w:rsidR="00CC3EE8">
        <w:rPr>
          <w:rFonts w:ascii="Arial" w:hAnsi="Arial" w:cs="Arial"/>
          <w:sz w:val="24"/>
          <w:szCs w:val="24"/>
        </w:rPr>
        <w:t>imovine</w:t>
      </w:r>
      <w:r w:rsidR="005C679F">
        <w:rPr>
          <w:rFonts w:ascii="Arial" w:hAnsi="Arial" w:cs="Arial"/>
          <w:sz w:val="24"/>
          <w:szCs w:val="24"/>
        </w:rPr>
        <w:t xml:space="preserve"> Općine Sirač</w:t>
      </w:r>
      <w:r w:rsidR="00CC3EE8">
        <w:rPr>
          <w:rFonts w:ascii="Arial" w:hAnsi="Arial" w:cs="Arial"/>
          <w:sz w:val="24"/>
          <w:szCs w:val="24"/>
        </w:rPr>
        <w:t xml:space="preserve">, </w:t>
      </w:r>
      <w:r w:rsidR="00ED38C8">
        <w:rPr>
          <w:rFonts w:ascii="Arial" w:hAnsi="Arial" w:cs="Arial"/>
          <w:sz w:val="24"/>
          <w:szCs w:val="24"/>
        </w:rPr>
        <w:t>te je istu</w:t>
      </w:r>
      <w:r w:rsidR="00EC7D13">
        <w:rPr>
          <w:rFonts w:ascii="Arial" w:hAnsi="Arial" w:cs="Arial"/>
          <w:sz w:val="24"/>
          <w:szCs w:val="24"/>
        </w:rPr>
        <w:t xml:space="preserve"> tijekom 202</w:t>
      </w:r>
      <w:r w:rsidR="00C045E6">
        <w:rPr>
          <w:rFonts w:ascii="Arial" w:hAnsi="Arial" w:cs="Arial"/>
          <w:sz w:val="24"/>
          <w:szCs w:val="24"/>
        </w:rPr>
        <w:t>5</w:t>
      </w:r>
      <w:r w:rsidR="00EC7D13">
        <w:rPr>
          <w:rFonts w:ascii="Arial" w:hAnsi="Arial" w:cs="Arial"/>
          <w:sz w:val="24"/>
          <w:szCs w:val="24"/>
        </w:rPr>
        <w:t xml:space="preserve">. godine </w:t>
      </w:r>
      <w:r w:rsidR="00ED38C8">
        <w:rPr>
          <w:rFonts w:ascii="Arial" w:hAnsi="Arial" w:cs="Arial"/>
          <w:sz w:val="24"/>
          <w:szCs w:val="24"/>
        </w:rPr>
        <w:t>kontinuirano ažurirala</w:t>
      </w:r>
      <w:r w:rsidR="00EC7D13">
        <w:rPr>
          <w:rFonts w:ascii="Arial" w:hAnsi="Arial" w:cs="Arial"/>
          <w:sz w:val="24"/>
          <w:szCs w:val="24"/>
        </w:rPr>
        <w:t xml:space="preserve">. Općina Sirač </w:t>
      </w:r>
      <w:r w:rsidR="00433965">
        <w:rPr>
          <w:rFonts w:ascii="Arial" w:hAnsi="Arial" w:cs="Arial"/>
          <w:sz w:val="24"/>
          <w:szCs w:val="24"/>
        </w:rPr>
        <w:t xml:space="preserve">unijela </w:t>
      </w:r>
      <w:r w:rsidR="00EC7D13">
        <w:rPr>
          <w:rFonts w:ascii="Arial" w:hAnsi="Arial" w:cs="Arial"/>
          <w:sz w:val="24"/>
          <w:szCs w:val="24"/>
        </w:rPr>
        <w:t xml:space="preserve">je </w:t>
      </w:r>
      <w:r w:rsidRPr="00AB6021">
        <w:rPr>
          <w:rFonts w:ascii="Arial" w:hAnsi="Arial" w:cs="Arial"/>
          <w:sz w:val="24"/>
          <w:szCs w:val="24"/>
        </w:rPr>
        <w:t>podatke</w:t>
      </w:r>
      <w:r w:rsidR="008772F2">
        <w:rPr>
          <w:rFonts w:ascii="Arial" w:hAnsi="Arial" w:cs="Arial"/>
          <w:sz w:val="24"/>
          <w:szCs w:val="24"/>
        </w:rPr>
        <w:t xml:space="preserve"> o imovini </w:t>
      </w:r>
      <w:r w:rsidRPr="00AB6021">
        <w:rPr>
          <w:rFonts w:ascii="Arial" w:hAnsi="Arial" w:cs="Arial"/>
          <w:sz w:val="24"/>
          <w:szCs w:val="24"/>
        </w:rPr>
        <w:t>u Središnji registar državne imovine</w:t>
      </w:r>
      <w:r w:rsidRPr="00AB6021">
        <w:t>.</w:t>
      </w:r>
      <w:r w:rsidR="00EC7D13">
        <w:t xml:space="preserve"> </w:t>
      </w:r>
    </w:p>
    <w:p w14:paraId="0E4E42C4" w14:textId="77777777" w:rsidR="00560554" w:rsidRDefault="00560554" w:rsidP="00560554"/>
    <w:p w14:paraId="6B640988" w14:textId="77777777" w:rsidR="00560554" w:rsidRDefault="00560554" w:rsidP="00560554"/>
    <w:p w14:paraId="77CE8650" w14:textId="77777777" w:rsidR="00560554" w:rsidRDefault="00560554" w:rsidP="00560554"/>
    <w:p w14:paraId="49039815" w14:textId="77777777" w:rsidR="00560554" w:rsidRDefault="00560554" w:rsidP="00560554"/>
    <w:p w14:paraId="29EE428F" w14:textId="77777777" w:rsidR="00560554" w:rsidRPr="00560554" w:rsidRDefault="00560554" w:rsidP="00560554"/>
    <w:p w14:paraId="347C3520" w14:textId="77777777" w:rsidR="00560554" w:rsidRDefault="00560554" w:rsidP="00560554">
      <w:r>
        <w:br w:type="page"/>
      </w:r>
    </w:p>
    <w:p w14:paraId="1C0EE9EA" w14:textId="4F07EF2C" w:rsidR="00180371" w:rsidRPr="009A192C" w:rsidRDefault="004F2686" w:rsidP="007547BE">
      <w:pPr>
        <w:pStyle w:val="Naslov1"/>
        <w:numPr>
          <w:ilvl w:val="0"/>
          <w:numId w:val="4"/>
        </w:numPr>
        <w:tabs>
          <w:tab w:val="left" w:pos="851"/>
        </w:tabs>
        <w:spacing w:before="0" w:after="480"/>
        <w:ind w:left="851" w:hanging="491"/>
        <w:jc w:val="both"/>
        <w:rPr>
          <w:rFonts w:ascii="Arial" w:hAnsi="Arial" w:cs="Arial"/>
          <w:color w:val="auto"/>
        </w:rPr>
      </w:pPr>
      <w:bookmarkStart w:id="11" w:name="_Toc150347724"/>
      <w:r>
        <w:rPr>
          <w:rFonts w:ascii="Arial" w:hAnsi="Arial" w:cs="Arial"/>
          <w:color w:val="auto"/>
        </w:rPr>
        <w:lastRenderedPageBreak/>
        <w:t xml:space="preserve">IZVJEŠĆE O PROVEDBI </w:t>
      </w:r>
      <w:r w:rsidR="00180371" w:rsidRPr="009A192C">
        <w:rPr>
          <w:rFonts w:ascii="Arial" w:hAnsi="Arial" w:cs="Arial"/>
          <w:color w:val="auto"/>
        </w:rPr>
        <w:t>GODIŠNJ</w:t>
      </w:r>
      <w:r>
        <w:rPr>
          <w:rFonts w:ascii="Arial" w:hAnsi="Arial" w:cs="Arial"/>
          <w:color w:val="auto"/>
        </w:rPr>
        <w:t>EG</w:t>
      </w:r>
      <w:r w:rsidR="00180371" w:rsidRPr="009A192C">
        <w:rPr>
          <w:rFonts w:ascii="Arial" w:hAnsi="Arial" w:cs="Arial"/>
          <w:color w:val="auto"/>
        </w:rPr>
        <w:t xml:space="preserve"> PLAN</w:t>
      </w:r>
      <w:r>
        <w:rPr>
          <w:rFonts w:ascii="Arial" w:hAnsi="Arial" w:cs="Arial"/>
          <w:color w:val="auto"/>
        </w:rPr>
        <w:t>A</w:t>
      </w:r>
      <w:r w:rsidR="00180371" w:rsidRPr="009A192C">
        <w:rPr>
          <w:rFonts w:ascii="Arial" w:hAnsi="Arial" w:cs="Arial"/>
          <w:color w:val="auto"/>
        </w:rPr>
        <w:t xml:space="preserve"> POSTUPAKA VEZANIH UZ SAVJETOVANJE SA ZAINTERESIRANOM JAVNOŠĆU I PRAVO NA PRISTUP INFORMACIJAMA KOJE SE TIČU UPRAVLJANJA I RASPOLAGANJA IMOVINOM U VLASNIŠTVU OPĆINE </w:t>
      </w:r>
      <w:r w:rsidR="00F46483">
        <w:rPr>
          <w:rFonts w:ascii="Arial" w:hAnsi="Arial" w:cs="Arial"/>
          <w:color w:val="auto"/>
        </w:rPr>
        <w:t>SIRAČ</w:t>
      </w:r>
      <w:bookmarkEnd w:id="11"/>
    </w:p>
    <w:p w14:paraId="2913F647" w14:textId="4603DD32" w:rsidR="004F2686" w:rsidRPr="004F2686" w:rsidRDefault="004F2686" w:rsidP="004F26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686">
        <w:rPr>
          <w:rFonts w:ascii="Arial" w:hAnsi="Arial" w:cs="Arial"/>
          <w:sz w:val="24"/>
          <w:szCs w:val="24"/>
        </w:rPr>
        <w:t>Sukladno Zakonu o pravu na pristup informacijama (</w:t>
      </w:r>
      <w:r>
        <w:rPr>
          <w:rFonts w:ascii="Arial" w:hAnsi="Arial" w:cs="Arial"/>
          <w:sz w:val="24"/>
          <w:szCs w:val="24"/>
        </w:rPr>
        <w:t>»</w:t>
      </w:r>
      <w:r w:rsidRPr="004F2686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«</w:t>
      </w:r>
      <w:r w:rsidRPr="004F2686">
        <w:rPr>
          <w:rFonts w:ascii="Arial" w:hAnsi="Arial" w:cs="Arial"/>
          <w:sz w:val="24"/>
          <w:szCs w:val="24"/>
        </w:rPr>
        <w:t>, broj 25/13</w:t>
      </w:r>
      <w:r>
        <w:rPr>
          <w:rFonts w:ascii="Arial" w:hAnsi="Arial" w:cs="Arial"/>
          <w:sz w:val="24"/>
          <w:szCs w:val="24"/>
        </w:rPr>
        <w:t xml:space="preserve">, </w:t>
      </w:r>
      <w:r w:rsidRPr="004F2686">
        <w:rPr>
          <w:rFonts w:ascii="Arial" w:hAnsi="Arial" w:cs="Arial"/>
          <w:sz w:val="24"/>
          <w:szCs w:val="24"/>
        </w:rPr>
        <w:t>85/15</w:t>
      </w:r>
      <w:r>
        <w:rPr>
          <w:rFonts w:ascii="Arial" w:hAnsi="Arial" w:cs="Arial"/>
          <w:sz w:val="24"/>
          <w:szCs w:val="24"/>
        </w:rPr>
        <w:t>, 69/22</w:t>
      </w:r>
      <w:r w:rsidRPr="004F2686">
        <w:rPr>
          <w:rFonts w:ascii="Arial" w:hAnsi="Arial" w:cs="Arial"/>
          <w:sz w:val="24"/>
          <w:szCs w:val="24"/>
        </w:rPr>
        <w:t xml:space="preserve">), Općina </w:t>
      </w:r>
      <w:r>
        <w:rPr>
          <w:rFonts w:ascii="Arial" w:hAnsi="Arial" w:cs="Arial"/>
          <w:sz w:val="24"/>
          <w:szCs w:val="24"/>
        </w:rPr>
        <w:t>Sirač</w:t>
      </w:r>
      <w:r w:rsidRPr="004F2686">
        <w:rPr>
          <w:rFonts w:ascii="Arial" w:hAnsi="Arial" w:cs="Arial"/>
          <w:sz w:val="24"/>
          <w:szCs w:val="24"/>
        </w:rPr>
        <w:t xml:space="preserve"> na svojoj službenoj mrežnoj stranici ima obvezu </w:t>
      </w:r>
      <w:r w:rsidR="00483F65">
        <w:rPr>
          <w:rFonts w:ascii="Arial" w:hAnsi="Arial" w:cs="Arial"/>
          <w:sz w:val="24"/>
          <w:szCs w:val="24"/>
        </w:rPr>
        <w:t xml:space="preserve">objavljivati te provoditi savjetovanje s javnošću kod </w:t>
      </w:r>
      <w:r w:rsidRPr="004F2686">
        <w:rPr>
          <w:rFonts w:ascii="Arial" w:hAnsi="Arial" w:cs="Arial"/>
          <w:sz w:val="24"/>
          <w:szCs w:val="24"/>
        </w:rPr>
        <w:t>donošenja općih akata</w:t>
      </w:r>
      <w:r w:rsidR="00483F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F65">
        <w:rPr>
          <w:rFonts w:ascii="Arial" w:hAnsi="Arial" w:cs="Arial"/>
          <w:sz w:val="24"/>
          <w:szCs w:val="24"/>
        </w:rPr>
        <w:t>odnoso</w:t>
      </w:r>
      <w:proofErr w:type="spellEnd"/>
      <w:r w:rsidR="00483F65">
        <w:rPr>
          <w:rFonts w:ascii="Arial" w:hAnsi="Arial" w:cs="Arial"/>
          <w:sz w:val="24"/>
          <w:szCs w:val="24"/>
        </w:rPr>
        <w:t xml:space="preserve"> akata</w:t>
      </w:r>
      <w:r w:rsidRPr="004F2686">
        <w:rPr>
          <w:rFonts w:ascii="Arial" w:hAnsi="Arial" w:cs="Arial"/>
          <w:sz w:val="24"/>
          <w:szCs w:val="24"/>
        </w:rPr>
        <w:t xml:space="preserve"> kojima </w:t>
      </w:r>
      <w:r w:rsidR="00483F65">
        <w:rPr>
          <w:rFonts w:ascii="Arial" w:hAnsi="Arial" w:cs="Arial"/>
          <w:sz w:val="24"/>
          <w:szCs w:val="24"/>
        </w:rPr>
        <w:t xml:space="preserve">se </w:t>
      </w:r>
      <w:r w:rsidRPr="004F2686">
        <w:rPr>
          <w:rFonts w:ascii="Arial" w:hAnsi="Arial" w:cs="Arial"/>
          <w:sz w:val="24"/>
          <w:szCs w:val="24"/>
        </w:rPr>
        <w:t xml:space="preserve">uređuju pitanja iz </w:t>
      </w:r>
      <w:r w:rsidR="00457BF8">
        <w:rPr>
          <w:rFonts w:ascii="Arial" w:hAnsi="Arial" w:cs="Arial"/>
          <w:sz w:val="24"/>
          <w:szCs w:val="24"/>
        </w:rPr>
        <w:t>njenog</w:t>
      </w:r>
      <w:r w:rsidRPr="004F2686">
        <w:rPr>
          <w:rFonts w:ascii="Arial" w:hAnsi="Arial" w:cs="Arial"/>
          <w:sz w:val="24"/>
          <w:szCs w:val="24"/>
        </w:rPr>
        <w:t xml:space="preserve"> djelokruga, a kojima se neposredno ostvaruju potrebe građana ili druga pitanja od interesa za opću dobrobit građana i pravnih osoba na njihovu području, odnosno na području njihove djelatnosti (uređenje naselja i stanovanja, prostorno planiranje, komunalna djelatnost i druge javne službe, zaštita okoliša, i drugo).</w:t>
      </w:r>
    </w:p>
    <w:p w14:paraId="7DDBD0D7" w14:textId="77777777" w:rsidR="004F2686" w:rsidRPr="004F2686" w:rsidRDefault="004F2686" w:rsidP="004F26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CE2C93" w14:textId="77777777" w:rsidR="00483F65" w:rsidRPr="004F2686" w:rsidRDefault="00483F65" w:rsidP="00483F6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686">
        <w:rPr>
          <w:rFonts w:ascii="Arial" w:hAnsi="Arial" w:cs="Arial"/>
          <w:sz w:val="24"/>
          <w:szCs w:val="24"/>
        </w:rPr>
        <w:t xml:space="preserve">Tijekom izvještajnog razdoblja na </w:t>
      </w:r>
      <w:r>
        <w:rPr>
          <w:rFonts w:ascii="Arial" w:hAnsi="Arial" w:cs="Arial"/>
          <w:sz w:val="24"/>
          <w:szCs w:val="24"/>
        </w:rPr>
        <w:t>službenoj</w:t>
      </w:r>
      <w:r w:rsidRPr="004F2686">
        <w:rPr>
          <w:rFonts w:ascii="Arial" w:hAnsi="Arial" w:cs="Arial"/>
          <w:sz w:val="24"/>
          <w:szCs w:val="24"/>
        </w:rPr>
        <w:t xml:space="preserve"> stranici Općine </w:t>
      </w:r>
      <w:r>
        <w:rPr>
          <w:rFonts w:ascii="Arial" w:hAnsi="Arial" w:cs="Arial"/>
          <w:sz w:val="24"/>
          <w:szCs w:val="24"/>
        </w:rPr>
        <w:t>Sirač</w:t>
      </w:r>
      <w:r w:rsidRPr="004F2686">
        <w:rPr>
          <w:rFonts w:ascii="Arial" w:hAnsi="Arial" w:cs="Arial"/>
          <w:sz w:val="24"/>
          <w:szCs w:val="24"/>
        </w:rPr>
        <w:t xml:space="preserve"> dostupna je Evidencija imovine, te svi dokumenti bitni za upravljanje i raspolaganje imovinom koji se kontinuirano ažuriraju.</w:t>
      </w:r>
    </w:p>
    <w:p w14:paraId="64F8CEA2" w14:textId="221EDF42" w:rsidR="00483F65" w:rsidRDefault="00EC7D13" w:rsidP="00C045E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C3A27" w:rsidRPr="00842E63">
        <w:rPr>
          <w:rFonts w:ascii="Arial" w:hAnsi="Arial" w:cs="Arial"/>
          <w:sz w:val="24"/>
          <w:szCs w:val="24"/>
        </w:rPr>
        <w:t xml:space="preserve">pćina </w:t>
      </w:r>
      <w:r w:rsidR="00F46483">
        <w:rPr>
          <w:rFonts w:ascii="Arial" w:hAnsi="Arial" w:cs="Arial"/>
          <w:sz w:val="24"/>
          <w:szCs w:val="24"/>
        </w:rPr>
        <w:t>Sirač</w:t>
      </w:r>
      <w:r w:rsidR="00FC3A27" w:rsidRPr="00842E63">
        <w:rPr>
          <w:rFonts w:ascii="Arial" w:hAnsi="Arial" w:cs="Arial"/>
          <w:sz w:val="24"/>
          <w:szCs w:val="24"/>
        </w:rPr>
        <w:t xml:space="preserve"> provodi savjetovanja </w:t>
      </w:r>
      <w:r w:rsidR="00457BF8">
        <w:rPr>
          <w:rFonts w:ascii="Arial" w:hAnsi="Arial" w:cs="Arial"/>
          <w:sz w:val="24"/>
          <w:szCs w:val="24"/>
        </w:rPr>
        <w:t>s</w:t>
      </w:r>
      <w:r w:rsidR="00FC3A27" w:rsidRPr="00842E63">
        <w:rPr>
          <w:rFonts w:ascii="Arial" w:hAnsi="Arial" w:cs="Arial"/>
          <w:sz w:val="24"/>
          <w:szCs w:val="24"/>
        </w:rPr>
        <w:t>a zainteresiranom javnošću</w:t>
      </w:r>
      <w:r w:rsidR="00D6598B" w:rsidRPr="00842E63">
        <w:rPr>
          <w:rFonts w:ascii="Arial" w:hAnsi="Arial" w:cs="Arial"/>
          <w:sz w:val="24"/>
          <w:szCs w:val="24"/>
        </w:rPr>
        <w:t xml:space="preserve"> putem svoje službene web stranice</w:t>
      </w:r>
      <w:r w:rsidR="00BB3229">
        <w:rPr>
          <w:rFonts w:ascii="Arial" w:hAnsi="Arial" w:cs="Arial"/>
          <w:sz w:val="24"/>
          <w:szCs w:val="24"/>
        </w:rPr>
        <w:t xml:space="preserve">. </w:t>
      </w:r>
      <w:r w:rsidR="00842E63">
        <w:rPr>
          <w:rFonts w:ascii="Arial" w:hAnsi="Arial" w:cs="Arial"/>
          <w:sz w:val="24"/>
          <w:szCs w:val="24"/>
        </w:rPr>
        <w:t xml:space="preserve">Svi </w:t>
      </w:r>
      <w:r>
        <w:rPr>
          <w:rFonts w:ascii="Arial" w:hAnsi="Arial" w:cs="Arial"/>
          <w:sz w:val="24"/>
          <w:szCs w:val="24"/>
        </w:rPr>
        <w:t xml:space="preserve">opći akti </w:t>
      </w:r>
      <w:r w:rsidR="00842E63">
        <w:rPr>
          <w:rFonts w:ascii="Arial" w:hAnsi="Arial" w:cs="Arial"/>
          <w:sz w:val="24"/>
          <w:szCs w:val="24"/>
        </w:rPr>
        <w:t xml:space="preserve">su javno objavljeni i dostupni zainteresiranoj javnosti. </w:t>
      </w:r>
      <w:r w:rsidR="00483F65">
        <w:rPr>
          <w:rFonts w:ascii="Arial" w:hAnsi="Arial" w:cs="Arial"/>
          <w:sz w:val="24"/>
          <w:szCs w:val="24"/>
        </w:rPr>
        <w:t xml:space="preserve">Plan </w:t>
      </w:r>
      <w:r w:rsidR="00483F65" w:rsidRPr="00483F65">
        <w:rPr>
          <w:rFonts w:ascii="Arial" w:hAnsi="Arial" w:cs="Arial"/>
          <w:sz w:val="24"/>
          <w:szCs w:val="24"/>
        </w:rPr>
        <w:t>savjetovanja s javnošću Općine Sirač</w:t>
      </w:r>
      <w:r w:rsidR="00483F65">
        <w:rPr>
          <w:rFonts w:ascii="Arial" w:hAnsi="Arial" w:cs="Arial"/>
          <w:sz w:val="24"/>
          <w:szCs w:val="24"/>
        </w:rPr>
        <w:t xml:space="preserve"> također</w:t>
      </w:r>
      <w:r w:rsidR="00457BF8">
        <w:rPr>
          <w:rFonts w:ascii="Arial" w:hAnsi="Arial" w:cs="Arial"/>
          <w:sz w:val="24"/>
          <w:szCs w:val="24"/>
        </w:rPr>
        <w:t xml:space="preserve"> je</w:t>
      </w:r>
      <w:r w:rsidR="00483F65">
        <w:rPr>
          <w:rFonts w:ascii="Arial" w:hAnsi="Arial" w:cs="Arial"/>
          <w:sz w:val="24"/>
          <w:szCs w:val="24"/>
        </w:rPr>
        <w:t xml:space="preserve"> dostupan javnosti. Po provedenom savjetovanju Općina Sirač izrađuje i objavljuje</w:t>
      </w:r>
      <w:r w:rsidR="00483F65" w:rsidRPr="00483F65">
        <w:t xml:space="preserve"> </w:t>
      </w:r>
      <w:r w:rsidR="00483F65" w:rsidRPr="00483F65">
        <w:rPr>
          <w:rFonts w:ascii="Arial" w:hAnsi="Arial" w:cs="Arial"/>
          <w:sz w:val="24"/>
          <w:szCs w:val="24"/>
        </w:rPr>
        <w:t>Izvješće o provedenom savjetovanju sa zainteresiranom javnošću</w:t>
      </w:r>
      <w:r w:rsidR="00457BF8">
        <w:rPr>
          <w:rFonts w:ascii="Arial" w:hAnsi="Arial" w:cs="Arial"/>
          <w:sz w:val="24"/>
          <w:szCs w:val="24"/>
        </w:rPr>
        <w:t>,</w:t>
      </w:r>
      <w:r w:rsidR="00483F65">
        <w:rPr>
          <w:rFonts w:ascii="Arial" w:hAnsi="Arial" w:cs="Arial"/>
          <w:sz w:val="24"/>
          <w:szCs w:val="24"/>
        </w:rPr>
        <w:t xml:space="preserve"> a sve </w:t>
      </w:r>
      <w:proofErr w:type="spellStart"/>
      <w:r w:rsidR="00483F65">
        <w:rPr>
          <w:rFonts w:ascii="Arial" w:hAnsi="Arial" w:cs="Arial"/>
          <w:sz w:val="24"/>
          <w:szCs w:val="24"/>
        </w:rPr>
        <w:t>suklado</w:t>
      </w:r>
      <w:proofErr w:type="spellEnd"/>
      <w:r w:rsidR="00483F65">
        <w:rPr>
          <w:rFonts w:ascii="Arial" w:hAnsi="Arial" w:cs="Arial"/>
          <w:sz w:val="24"/>
          <w:szCs w:val="24"/>
        </w:rPr>
        <w:t xml:space="preserve"> odredbama  </w:t>
      </w:r>
      <w:r w:rsidR="00483F65" w:rsidRPr="00483F65">
        <w:rPr>
          <w:rFonts w:ascii="Arial" w:hAnsi="Arial" w:cs="Arial"/>
          <w:sz w:val="24"/>
          <w:szCs w:val="24"/>
        </w:rPr>
        <w:t>Zakon</w:t>
      </w:r>
      <w:r w:rsidR="00457BF8">
        <w:rPr>
          <w:rFonts w:ascii="Arial" w:hAnsi="Arial" w:cs="Arial"/>
          <w:sz w:val="24"/>
          <w:szCs w:val="24"/>
        </w:rPr>
        <w:t>a</w:t>
      </w:r>
      <w:r w:rsidR="00483F65" w:rsidRPr="00483F65">
        <w:rPr>
          <w:rFonts w:ascii="Arial" w:hAnsi="Arial" w:cs="Arial"/>
          <w:sz w:val="24"/>
          <w:szCs w:val="24"/>
        </w:rPr>
        <w:t xml:space="preserve"> o pravu na pristup informacijama (»Narodne novine«, broj 25/13, 85/15, 69/22)</w:t>
      </w:r>
      <w:r w:rsidR="00483F65">
        <w:rPr>
          <w:rFonts w:ascii="Arial" w:hAnsi="Arial" w:cs="Arial"/>
          <w:sz w:val="24"/>
          <w:szCs w:val="24"/>
        </w:rPr>
        <w:t>.</w:t>
      </w:r>
    </w:p>
    <w:p w14:paraId="58BA97B6" w14:textId="6AE54369" w:rsidR="008C6892" w:rsidRDefault="00842E63" w:rsidP="000A678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Godišnji Plan upravljanja imovinom Općine </w:t>
      </w:r>
      <w:r w:rsidR="00F46483">
        <w:rPr>
          <w:rFonts w:ascii="Arial" w:hAnsi="Arial" w:cs="Arial"/>
          <w:sz w:val="24"/>
          <w:szCs w:val="24"/>
        </w:rPr>
        <w:t>Sirač</w:t>
      </w:r>
      <w:r>
        <w:rPr>
          <w:rFonts w:ascii="Arial" w:hAnsi="Arial" w:cs="Arial"/>
          <w:sz w:val="24"/>
          <w:szCs w:val="24"/>
        </w:rPr>
        <w:t xml:space="preserve"> za 202</w:t>
      </w:r>
      <w:r w:rsidR="00C045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godinu </w:t>
      </w:r>
      <w:r w:rsidR="006C702F">
        <w:rPr>
          <w:rFonts w:ascii="Arial" w:hAnsi="Arial" w:cs="Arial"/>
          <w:sz w:val="24"/>
          <w:szCs w:val="24"/>
        </w:rPr>
        <w:t>također</w:t>
      </w:r>
      <w:r w:rsidR="00EC7D13">
        <w:rPr>
          <w:rFonts w:ascii="Arial" w:hAnsi="Arial" w:cs="Arial"/>
          <w:sz w:val="24"/>
          <w:szCs w:val="24"/>
        </w:rPr>
        <w:t xml:space="preserve"> je bio </w:t>
      </w:r>
      <w:r w:rsidR="006C702F">
        <w:rPr>
          <w:rFonts w:ascii="Arial" w:hAnsi="Arial" w:cs="Arial"/>
          <w:sz w:val="24"/>
          <w:szCs w:val="24"/>
        </w:rPr>
        <w:t xml:space="preserve">dostupan javnosti u skladu sa </w:t>
      </w:r>
      <w:r w:rsidR="00483F65">
        <w:rPr>
          <w:rFonts w:ascii="Arial" w:hAnsi="Arial" w:cs="Arial"/>
          <w:sz w:val="24"/>
          <w:szCs w:val="24"/>
        </w:rPr>
        <w:t xml:space="preserve">odredbama </w:t>
      </w:r>
      <w:r w:rsidR="006C702F" w:rsidRPr="006C702F">
        <w:rPr>
          <w:rFonts w:ascii="Arial" w:hAnsi="Arial" w:cs="Arial"/>
          <w:sz w:val="24"/>
          <w:szCs w:val="24"/>
        </w:rPr>
        <w:t>Zakon</w:t>
      </w:r>
      <w:r w:rsidR="006C702F">
        <w:rPr>
          <w:rFonts w:ascii="Arial" w:hAnsi="Arial" w:cs="Arial"/>
          <w:sz w:val="24"/>
          <w:szCs w:val="24"/>
        </w:rPr>
        <w:t>a</w:t>
      </w:r>
      <w:r w:rsidR="006C702F" w:rsidRPr="006C702F">
        <w:rPr>
          <w:rFonts w:ascii="Arial" w:hAnsi="Arial" w:cs="Arial"/>
          <w:sz w:val="24"/>
          <w:szCs w:val="24"/>
        </w:rPr>
        <w:t xml:space="preserve"> o pravu na pristup informacijama (»Narodne novine«, broj 25/13, 85/15</w:t>
      </w:r>
      <w:r w:rsidR="005C679F">
        <w:rPr>
          <w:rFonts w:ascii="Arial" w:hAnsi="Arial" w:cs="Arial"/>
          <w:sz w:val="24"/>
          <w:szCs w:val="24"/>
        </w:rPr>
        <w:t>, 69/22</w:t>
      </w:r>
      <w:r w:rsidR="006C702F" w:rsidRPr="006C702F">
        <w:rPr>
          <w:rFonts w:ascii="Arial" w:hAnsi="Arial" w:cs="Arial"/>
          <w:sz w:val="24"/>
          <w:szCs w:val="24"/>
        </w:rPr>
        <w:t>)</w:t>
      </w:r>
      <w:r w:rsidR="00483F65">
        <w:rPr>
          <w:rFonts w:ascii="Arial" w:hAnsi="Arial" w:cs="Arial"/>
          <w:sz w:val="24"/>
          <w:szCs w:val="24"/>
        </w:rPr>
        <w:t>.</w:t>
      </w:r>
    </w:p>
    <w:p w14:paraId="3864EEB1" w14:textId="77777777" w:rsidR="00457BF8" w:rsidRDefault="00483F65" w:rsidP="000A678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686">
        <w:rPr>
          <w:rFonts w:ascii="Arial" w:hAnsi="Arial" w:cs="Arial"/>
          <w:sz w:val="24"/>
          <w:szCs w:val="24"/>
        </w:rPr>
        <w:t>Javnosti je na raspolaganju i službenik za informiranje koji postupa u aktivnostima i podacima na temelju upućenog zahtjeva za pristup informacijama</w:t>
      </w:r>
      <w:r w:rsidR="00457BF8">
        <w:rPr>
          <w:rFonts w:ascii="Arial" w:hAnsi="Arial" w:cs="Arial"/>
          <w:sz w:val="24"/>
          <w:szCs w:val="24"/>
        </w:rPr>
        <w:t>, između ostalog i informacijama vezanima uz imovinu.</w:t>
      </w:r>
    </w:p>
    <w:p w14:paraId="56E3ECC9" w14:textId="640B0499" w:rsidR="00457BF8" w:rsidRDefault="00457BF8" w:rsidP="000A678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C045E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godine Općina Sirač kontinuirano je </w:t>
      </w:r>
      <w:proofErr w:type="spellStart"/>
      <w:r>
        <w:rPr>
          <w:rFonts w:ascii="Arial" w:hAnsi="Arial" w:cs="Arial"/>
          <w:sz w:val="24"/>
          <w:szCs w:val="24"/>
        </w:rPr>
        <w:t>odgovorala</w:t>
      </w:r>
      <w:proofErr w:type="spellEnd"/>
      <w:r>
        <w:rPr>
          <w:rFonts w:ascii="Arial" w:hAnsi="Arial" w:cs="Arial"/>
          <w:sz w:val="24"/>
          <w:szCs w:val="24"/>
        </w:rPr>
        <w:t xml:space="preserve"> na zaprimljene zahtjeve za pristup informacijama.</w:t>
      </w:r>
    </w:p>
    <w:p w14:paraId="095B00A8" w14:textId="77777777" w:rsidR="001722B5" w:rsidRPr="00842E63" w:rsidRDefault="001722B5" w:rsidP="00E9490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92BE9D8" w14:textId="77777777" w:rsidR="00A57266" w:rsidRPr="00842E63" w:rsidRDefault="00A57266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A57266" w:rsidRPr="00842E63" w:rsidSect="00BB763A"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63B8" w14:textId="77777777" w:rsidR="00996BAA" w:rsidRDefault="00996BAA" w:rsidP="005328C5">
      <w:pPr>
        <w:spacing w:after="0" w:line="240" w:lineRule="auto"/>
      </w:pPr>
      <w:r>
        <w:separator/>
      </w:r>
    </w:p>
  </w:endnote>
  <w:endnote w:type="continuationSeparator" w:id="0">
    <w:p w14:paraId="555A6F29" w14:textId="77777777" w:rsidR="00996BAA" w:rsidRDefault="00996BAA" w:rsidP="0053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3342"/>
      <w:docPartObj>
        <w:docPartGallery w:val="Page Numbers (Bottom of Page)"/>
        <w:docPartUnique/>
      </w:docPartObj>
    </w:sdtPr>
    <w:sdtContent>
      <w:p w14:paraId="3FA4CF92" w14:textId="77777777" w:rsidR="00B619B9" w:rsidRDefault="00B619B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BBF8AB" w14:textId="77777777" w:rsidR="00B619B9" w:rsidRDefault="00B619B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3362"/>
      <w:docPartObj>
        <w:docPartGallery w:val="Page Numbers (Bottom of Page)"/>
        <w:docPartUnique/>
      </w:docPartObj>
    </w:sdtPr>
    <w:sdtContent>
      <w:p w14:paraId="3F7BFFCA" w14:textId="77777777" w:rsidR="00B619B9" w:rsidRDefault="00B619B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10C632" w14:textId="77777777" w:rsidR="00B619B9" w:rsidRDefault="00B619B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E66F" w14:textId="77777777" w:rsidR="00B619B9" w:rsidRDefault="00B619B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t>7</w:t>
    </w:r>
    <w:r>
      <w:rPr>
        <w:noProof/>
      </w:rPr>
      <w:fldChar w:fldCharType="end"/>
    </w:r>
  </w:p>
  <w:p w14:paraId="71FAF69B" w14:textId="77777777" w:rsidR="00B619B9" w:rsidRDefault="00B619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0C" w14:textId="77777777" w:rsidR="00996BAA" w:rsidRDefault="00996BAA" w:rsidP="005328C5">
      <w:pPr>
        <w:spacing w:after="0" w:line="240" w:lineRule="auto"/>
      </w:pPr>
      <w:r>
        <w:separator/>
      </w:r>
    </w:p>
  </w:footnote>
  <w:footnote w:type="continuationSeparator" w:id="0">
    <w:p w14:paraId="7E97A72E" w14:textId="77777777" w:rsidR="00996BAA" w:rsidRDefault="00996BAA" w:rsidP="0053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6152" w14:textId="292228E4" w:rsidR="007205CA" w:rsidRDefault="007205CA" w:rsidP="007205C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FE1"/>
    <w:multiLevelType w:val="hybridMultilevel"/>
    <w:tmpl w:val="8F228670"/>
    <w:lvl w:ilvl="0" w:tplc="4EE65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269"/>
    <w:multiLevelType w:val="hybridMultilevel"/>
    <w:tmpl w:val="D700942E"/>
    <w:lvl w:ilvl="0" w:tplc="041A0005">
      <w:start w:val="1"/>
      <w:numFmt w:val="bullet"/>
      <w:lvlText w:val=""/>
      <w:lvlJc w:val="left"/>
      <w:pPr>
        <w:ind w:left="6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" w15:restartNumberingAfterBreak="0">
    <w:nsid w:val="097A3C4C"/>
    <w:multiLevelType w:val="hybridMultilevel"/>
    <w:tmpl w:val="2E90D114"/>
    <w:lvl w:ilvl="0" w:tplc="196C8C3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A30DE"/>
    <w:multiLevelType w:val="hybridMultilevel"/>
    <w:tmpl w:val="DBD6215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6208"/>
    <w:multiLevelType w:val="hybridMultilevel"/>
    <w:tmpl w:val="12A0EF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044"/>
    <w:multiLevelType w:val="hybridMultilevel"/>
    <w:tmpl w:val="C318F756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3A0E"/>
    <w:multiLevelType w:val="hybridMultilevel"/>
    <w:tmpl w:val="13CE1C78"/>
    <w:lvl w:ilvl="0" w:tplc="CFAA6BC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3E84"/>
    <w:multiLevelType w:val="hybridMultilevel"/>
    <w:tmpl w:val="8878EA00"/>
    <w:lvl w:ilvl="0" w:tplc="94FCF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8B3"/>
    <w:multiLevelType w:val="hybridMultilevel"/>
    <w:tmpl w:val="3EE06A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F1EEF"/>
    <w:multiLevelType w:val="multilevel"/>
    <w:tmpl w:val="873A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637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FA71A6"/>
    <w:multiLevelType w:val="hybridMultilevel"/>
    <w:tmpl w:val="55200BA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607B17"/>
    <w:multiLevelType w:val="hybridMultilevel"/>
    <w:tmpl w:val="6A98E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939EB"/>
    <w:multiLevelType w:val="multilevel"/>
    <w:tmpl w:val="929AB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DC46676"/>
    <w:multiLevelType w:val="hybridMultilevel"/>
    <w:tmpl w:val="216A3932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4D0B"/>
    <w:multiLevelType w:val="hybridMultilevel"/>
    <w:tmpl w:val="CD9083DE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E3326F"/>
    <w:multiLevelType w:val="hybridMultilevel"/>
    <w:tmpl w:val="0BE82646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74EB4"/>
    <w:multiLevelType w:val="hybridMultilevel"/>
    <w:tmpl w:val="278C7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5446F"/>
    <w:multiLevelType w:val="hybridMultilevel"/>
    <w:tmpl w:val="580058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06690"/>
    <w:multiLevelType w:val="hybridMultilevel"/>
    <w:tmpl w:val="C40CA8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54526"/>
    <w:multiLevelType w:val="hybridMultilevel"/>
    <w:tmpl w:val="3012A3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BDB"/>
    <w:multiLevelType w:val="hybridMultilevel"/>
    <w:tmpl w:val="23421F8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6BF5"/>
    <w:multiLevelType w:val="hybridMultilevel"/>
    <w:tmpl w:val="402656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E5D11"/>
    <w:multiLevelType w:val="hybridMultilevel"/>
    <w:tmpl w:val="4E44DD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22982"/>
    <w:multiLevelType w:val="hybridMultilevel"/>
    <w:tmpl w:val="FF1A3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546CD"/>
    <w:multiLevelType w:val="hybridMultilevel"/>
    <w:tmpl w:val="AE24406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656053"/>
    <w:multiLevelType w:val="hybridMultilevel"/>
    <w:tmpl w:val="3C4824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119436C"/>
    <w:multiLevelType w:val="hybridMultilevel"/>
    <w:tmpl w:val="910C0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20628"/>
    <w:multiLevelType w:val="hybridMultilevel"/>
    <w:tmpl w:val="9CA2A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27BDE"/>
    <w:multiLevelType w:val="hybridMultilevel"/>
    <w:tmpl w:val="7D86E5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D2472"/>
    <w:multiLevelType w:val="multilevel"/>
    <w:tmpl w:val="873A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5A28EA"/>
    <w:multiLevelType w:val="hybridMultilevel"/>
    <w:tmpl w:val="8EF4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6ED"/>
    <w:multiLevelType w:val="hybridMultilevel"/>
    <w:tmpl w:val="B4CA4562"/>
    <w:lvl w:ilvl="0" w:tplc="041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5D6D4E"/>
    <w:multiLevelType w:val="hybridMultilevel"/>
    <w:tmpl w:val="54C6CB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D0D"/>
    <w:multiLevelType w:val="hybridMultilevel"/>
    <w:tmpl w:val="634EFCF2"/>
    <w:lvl w:ilvl="0" w:tplc="041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B5B4D33"/>
    <w:multiLevelType w:val="hybridMultilevel"/>
    <w:tmpl w:val="205A8BC4"/>
    <w:lvl w:ilvl="0" w:tplc="C7B865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0A1D52"/>
    <w:multiLevelType w:val="hybridMultilevel"/>
    <w:tmpl w:val="1298CB10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403375"/>
    <w:multiLevelType w:val="hybridMultilevel"/>
    <w:tmpl w:val="A564561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DDC72F7"/>
    <w:multiLevelType w:val="hybridMultilevel"/>
    <w:tmpl w:val="6E6A547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458A8"/>
    <w:multiLevelType w:val="hybridMultilevel"/>
    <w:tmpl w:val="DD5A412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A05B4"/>
    <w:multiLevelType w:val="multilevel"/>
    <w:tmpl w:val="E2B6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A02792"/>
    <w:multiLevelType w:val="hybridMultilevel"/>
    <w:tmpl w:val="8FE01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E032F"/>
    <w:multiLevelType w:val="hybridMultilevel"/>
    <w:tmpl w:val="8C7864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212DA"/>
    <w:multiLevelType w:val="hybridMultilevel"/>
    <w:tmpl w:val="CDB41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2214">
    <w:abstractNumId w:val="6"/>
  </w:num>
  <w:num w:numId="2" w16cid:durableId="49306265">
    <w:abstractNumId w:val="12"/>
  </w:num>
  <w:num w:numId="3" w16cid:durableId="418672399">
    <w:abstractNumId w:val="4"/>
  </w:num>
  <w:num w:numId="4" w16cid:durableId="948700102">
    <w:abstractNumId w:val="13"/>
  </w:num>
  <w:num w:numId="5" w16cid:durableId="372727468">
    <w:abstractNumId w:val="28"/>
  </w:num>
  <w:num w:numId="6" w16cid:durableId="1641029989">
    <w:abstractNumId w:val="20"/>
  </w:num>
  <w:num w:numId="7" w16cid:durableId="1678968494">
    <w:abstractNumId w:val="15"/>
  </w:num>
  <w:num w:numId="8" w16cid:durableId="250895315">
    <w:abstractNumId w:val="25"/>
  </w:num>
  <w:num w:numId="9" w16cid:durableId="246157085">
    <w:abstractNumId w:val="44"/>
  </w:num>
  <w:num w:numId="10" w16cid:durableId="1182934305">
    <w:abstractNumId w:val="24"/>
  </w:num>
  <w:num w:numId="11" w16cid:durableId="290287315">
    <w:abstractNumId w:val="10"/>
  </w:num>
  <w:num w:numId="12" w16cid:durableId="1662347039">
    <w:abstractNumId w:val="41"/>
  </w:num>
  <w:num w:numId="13" w16cid:durableId="1278025136">
    <w:abstractNumId w:val="5"/>
  </w:num>
  <w:num w:numId="14" w16cid:durableId="201407688">
    <w:abstractNumId w:val="34"/>
  </w:num>
  <w:num w:numId="15" w16cid:durableId="1476217810">
    <w:abstractNumId w:val="1"/>
  </w:num>
  <w:num w:numId="16" w16cid:durableId="496194077">
    <w:abstractNumId w:val="0"/>
  </w:num>
  <w:num w:numId="17" w16cid:durableId="997535019">
    <w:abstractNumId w:val="43"/>
  </w:num>
  <w:num w:numId="18" w16cid:durableId="1125389320">
    <w:abstractNumId w:val="29"/>
  </w:num>
  <w:num w:numId="19" w16cid:durableId="123273996">
    <w:abstractNumId w:val="39"/>
  </w:num>
  <w:num w:numId="20" w16cid:durableId="124079442">
    <w:abstractNumId w:val="22"/>
  </w:num>
  <w:num w:numId="21" w16cid:durableId="34429062">
    <w:abstractNumId w:val="40"/>
  </w:num>
  <w:num w:numId="22" w16cid:durableId="1341465131">
    <w:abstractNumId w:val="35"/>
  </w:num>
  <w:num w:numId="23" w16cid:durableId="1929801534">
    <w:abstractNumId w:val="33"/>
  </w:num>
  <w:num w:numId="24" w16cid:durableId="500895494">
    <w:abstractNumId w:val="21"/>
  </w:num>
  <w:num w:numId="25" w16cid:durableId="2113233449">
    <w:abstractNumId w:val="26"/>
  </w:num>
  <w:num w:numId="26" w16cid:durableId="503203041">
    <w:abstractNumId w:val="37"/>
  </w:num>
  <w:num w:numId="27" w16cid:durableId="970550517">
    <w:abstractNumId w:val="27"/>
  </w:num>
  <w:num w:numId="28" w16cid:durableId="466047338">
    <w:abstractNumId w:val="38"/>
  </w:num>
  <w:num w:numId="29" w16cid:durableId="249704061">
    <w:abstractNumId w:val="14"/>
  </w:num>
  <w:num w:numId="30" w16cid:durableId="1234851953">
    <w:abstractNumId w:val="16"/>
  </w:num>
  <w:num w:numId="31" w16cid:durableId="261112167">
    <w:abstractNumId w:val="23"/>
  </w:num>
  <w:num w:numId="32" w16cid:durableId="519045881">
    <w:abstractNumId w:val="11"/>
  </w:num>
  <w:num w:numId="33" w16cid:durableId="1427072650">
    <w:abstractNumId w:val="19"/>
  </w:num>
  <w:num w:numId="34" w16cid:durableId="303776679">
    <w:abstractNumId w:val="3"/>
  </w:num>
  <w:num w:numId="35" w16cid:durableId="852037715">
    <w:abstractNumId w:val="9"/>
  </w:num>
  <w:num w:numId="36" w16cid:durableId="2030255417">
    <w:abstractNumId w:val="31"/>
  </w:num>
  <w:num w:numId="37" w16cid:durableId="111872876">
    <w:abstractNumId w:val="42"/>
  </w:num>
  <w:num w:numId="38" w16cid:durableId="1085229253">
    <w:abstractNumId w:val="17"/>
  </w:num>
  <w:num w:numId="39" w16cid:durableId="2144226587">
    <w:abstractNumId w:val="8"/>
  </w:num>
  <w:num w:numId="40" w16cid:durableId="1363284547">
    <w:abstractNumId w:val="30"/>
  </w:num>
  <w:num w:numId="41" w16cid:durableId="574899751">
    <w:abstractNumId w:val="18"/>
  </w:num>
  <w:num w:numId="42" w16cid:durableId="2075665114">
    <w:abstractNumId w:val="32"/>
  </w:num>
  <w:num w:numId="43" w16cid:durableId="1031146418">
    <w:abstractNumId w:val="7"/>
  </w:num>
  <w:num w:numId="44" w16cid:durableId="1486585114">
    <w:abstractNumId w:val="2"/>
  </w:num>
  <w:num w:numId="45" w16cid:durableId="4759982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F9"/>
    <w:rsid w:val="00010E3C"/>
    <w:rsid w:val="00011495"/>
    <w:rsid w:val="000115FD"/>
    <w:rsid w:val="00011BDC"/>
    <w:rsid w:val="00011F4C"/>
    <w:rsid w:val="00020A05"/>
    <w:rsid w:val="0002355A"/>
    <w:rsid w:val="00031FF0"/>
    <w:rsid w:val="00032818"/>
    <w:rsid w:val="000329B7"/>
    <w:rsid w:val="00033578"/>
    <w:rsid w:val="0003706F"/>
    <w:rsid w:val="00041A31"/>
    <w:rsid w:val="00042453"/>
    <w:rsid w:val="000449E8"/>
    <w:rsid w:val="0005083D"/>
    <w:rsid w:val="00067475"/>
    <w:rsid w:val="000720FD"/>
    <w:rsid w:val="00075ECD"/>
    <w:rsid w:val="00076FDD"/>
    <w:rsid w:val="0008012F"/>
    <w:rsid w:val="00081037"/>
    <w:rsid w:val="00081CCD"/>
    <w:rsid w:val="000847ED"/>
    <w:rsid w:val="00087866"/>
    <w:rsid w:val="000912E8"/>
    <w:rsid w:val="000A1C4C"/>
    <w:rsid w:val="000A579D"/>
    <w:rsid w:val="000A625C"/>
    <w:rsid w:val="000A678E"/>
    <w:rsid w:val="000B16A6"/>
    <w:rsid w:val="000B5A31"/>
    <w:rsid w:val="000B662F"/>
    <w:rsid w:val="000B6723"/>
    <w:rsid w:val="000B7BF5"/>
    <w:rsid w:val="000C0D52"/>
    <w:rsid w:val="000C1F54"/>
    <w:rsid w:val="000C4D96"/>
    <w:rsid w:val="000C5AEC"/>
    <w:rsid w:val="000C74C9"/>
    <w:rsid w:val="000D3271"/>
    <w:rsid w:val="000D647F"/>
    <w:rsid w:val="000E1C2B"/>
    <w:rsid w:val="000E5B21"/>
    <w:rsid w:val="000F0641"/>
    <w:rsid w:val="000F1DF5"/>
    <w:rsid w:val="000F227A"/>
    <w:rsid w:val="000F43AD"/>
    <w:rsid w:val="000F4727"/>
    <w:rsid w:val="000F6F85"/>
    <w:rsid w:val="001074C7"/>
    <w:rsid w:val="0011209F"/>
    <w:rsid w:val="0011426F"/>
    <w:rsid w:val="00115691"/>
    <w:rsid w:val="00123550"/>
    <w:rsid w:val="00124265"/>
    <w:rsid w:val="00130EFE"/>
    <w:rsid w:val="00132F27"/>
    <w:rsid w:val="001373AE"/>
    <w:rsid w:val="0014080A"/>
    <w:rsid w:val="001446EC"/>
    <w:rsid w:val="0015294F"/>
    <w:rsid w:val="00155285"/>
    <w:rsid w:val="001556A4"/>
    <w:rsid w:val="00156B2F"/>
    <w:rsid w:val="00161D2E"/>
    <w:rsid w:val="001620F2"/>
    <w:rsid w:val="001722B5"/>
    <w:rsid w:val="001744CC"/>
    <w:rsid w:val="00177AE7"/>
    <w:rsid w:val="00180371"/>
    <w:rsid w:val="00183EA9"/>
    <w:rsid w:val="00190448"/>
    <w:rsid w:val="001A5074"/>
    <w:rsid w:val="001A6809"/>
    <w:rsid w:val="001A75A1"/>
    <w:rsid w:val="001B14D5"/>
    <w:rsid w:val="001B1C74"/>
    <w:rsid w:val="001B41BF"/>
    <w:rsid w:val="001B525C"/>
    <w:rsid w:val="001C213A"/>
    <w:rsid w:val="001C3CC6"/>
    <w:rsid w:val="001C7CD4"/>
    <w:rsid w:val="001E0070"/>
    <w:rsid w:val="001E049D"/>
    <w:rsid w:val="001E18DB"/>
    <w:rsid w:val="001E46AC"/>
    <w:rsid w:val="001E4D53"/>
    <w:rsid w:val="001F61E9"/>
    <w:rsid w:val="001F66A2"/>
    <w:rsid w:val="002022E9"/>
    <w:rsid w:val="00202A14"/>
    <w:rsid w:val="00203029"/>
    <w:rsid w:val="00203ABB"/>
    <w:rsid w:val="00203F1A"/>
    <w:rsid w:val="00205251"/>
    <w:rsid w:val="00205845"/>
    <w:rsid w:val="002078C6"/>
    <w:rsid w:val="002142A6"/>
    <w:rsid w:val="00214E70"/>
    <w:rsid w:val="00217FF3"/>
    <w:rsid w:val="00225197"/>
    <w:rsid w:val="00231121"/>
    <w:rsid w:val="00232939"/>
    <w:rsid w:val="00234126"/>
    <w:rsid w:val="002369E5"/>
    <w:rsid w:val="00240405"/>
    <w:rsid w:val="0024111A"/>
    <w:rsid w:val="00244248"/>
    <w:rsid w:val="00245FD7"/>
    <w:rsid w:val="002478EB"/>
    <w:rsid w:val="00251846"/>
    <w:rsid w:val="002526F0"/>
    <w:rsid w:val="002533F0"/>
    <w:rsid w:val="002542B2"/>
    <w:rsid w:val="00255905"/>
    <w:rsid w:val="00263DFD"/>
    <w:rsid w:val="00264A69"/>
    <w:rsid w:val="00266A02"/>
    <w:rsid w:val="00271EC5"/>
    <w:rsid w:val="0027510D"/>
    <w:rsid w:val="00284947"/>
    <w:rsid w:val="00290795"/>
    <w:rsid w:val="00294B60"/>
    <w:rsid w:val="002951DF"/>
    <w:rsid w:val="00296B22"/>
    <w:rsid w:val="002A78DB"/>
    <w:rsid w:val="002A7A33"/>
    <w:rsid w:val="002B23B1"/>
    <w:rsid w:val="002B4BDC"/>
    <w:rsid w:val="002B5A4B"/>
    <w:rsid w:val="002C3720"/>
    <w:rsid w:val="002C3752"/>
    <w:rsid w:val="002C4ED8"/>
    <w:rsid w:val="002C6A4C"/>
    <w:rsid w:val="002C7700"/>
    <w:rsid w:val="002D0ABD"/>
    <w:rsid w:val="002E33FD"/>
    <w:rsid w:val="002E52E8"/>
    <w:rsid w:val="002F2429"/>
    <w:rsid w:val="00305D09"/>
    <w:rsid w:val="003062D5"/>
    <w:rsid w:val="003102BE"/>
    <w:rsid w:val="00321C0A"/>
    <w:rsid w:val="003232B7"/>
    <w:rsid w:val="00323911"/>
    <w:rsid w:val="003243B6"/>
    <w:rsid w:val="00327C8F"/>
    <w:rsid w:val="0033132E"/>
    <w:rsid w:val="00344895"/>
    <w:rsid w:val="00354F11"/>
    <w:rsid w:val="003553D5"/>
    <w:rsid w:val="0035589B"/>
    <w:rsid w:val="0037575A"/>
    <w:rsid w:val="0037600A"/>
    <w:rsid w:val="003812A4"/>
    <w:rsid w:val="00383E2B"/>
    <w:rsid w:val="003842E0"/>
    <w:rsid w:val="0038627D"/>
    <w:rsid w:val="00386B08"/>
    <w:rsid w:val="0039073A"/>
    <w:rsid w:val="003909E8"/>
    <w:rsid w:val="00395781"/>
    <w:rsid w:val="00397133"/>
    <w:rsid w:val="003A3397"/>
    <w:rsid w:val="003A7240"/>
    <w:rsid w:val="003B0462"/>
    <w:rsid w:val="003B3F76"/>
    <w:rsid w:val="003C31CF"/>
    <w:rsid w:val="003C3AB8"/>
    <w:rsid w:val="003D0462"/>
    <w:rsid w:val="003D1E8B"/>
    <w:rsid w:val="003E0517"/>
    <w:rsid w:val="003E0F17"/>
    <w:rsid w:val="003E531E"/>
    <w:rsid w:val="003E5EBF"/>
    <w:rsid w:val="003E72F7"/>
    <w:rsid w:val="003F0615"/>
    <w:rsid w:val="003F6CED"/>
    <w:rsid w:val="003F71EE"/>
    <w:rsid w:val="00402D08"/>
    <w:rsid w:val="00406005"/>
    <w:rsid w:val="004108CE"/>
    <w:rsid w:val="004139AB"/>
    <w:rsid w:val="0041685B"/>
    <w:rsid w:val="00420C48"/>
    <w:rsid w:val="004228CF"/>
    <w:rsid w:val="0042373E"/>
    <w:rsid w:val="00430E6D"/>
    <w:rsid w:val="004324FF"/>
    <w:rsid w:val="00433965"/>
    <w:rsid w:val="0044166B"/>
    <w:rsid w:val="00443F7A"/>
    <w:rsid w:val="00451AFC"/>
    <w:rsid w:val="00456F34"/>
    <w:rsid w:val="00457BF8"/>
    <w:rsid w:val="00461E78"/>
    <w:rsid w:val="00463271"/>
    <w:rsid w:val="004671E5"/>
    <w:rsid w:val="00474687"/>
    <w:rsid w:val="004747FC"/>
    <w:rsid w:val="00474E7D"/>
    <w:rsid w:val="00476FAB"/>
    <w:rsid w:val="00480D30"/>
    <w:rsid w:val="00481C07"/>
    <w:rsid w:val="00482A5E"/>
    <w:rsid w:val="00483F65"/>
    <w:rsid w:val="00491ABD"/>
    <w:rsid w:val="00491F9F"/>
    <w:rsid w:val="00494A15"/>
    <w:rsid w:val="00495E9A"/>
    <w:rsid w:val="004A09A1"/>
    <w:rsid w:val="004A0F9E"/>
    <w:rsid w:val="004B0EAE"/>
    <w:rsid w:val="004B38C5"/>
    <w:rsid w:val="004B7EE8"/>
    <w:rsid w:val="004C0869"/>
    <w:rsid w:val="004C4687"/>
    <w:rsid w:val="004C679A"/>
    <w:rsid w:val="004D55FD"/>
    <w:rsid w:val="004D78EC"/>
    <w:rsid w:val="004E0420"/>
    <w:rsid w:val="004E28FA"/>
    <w:rsid w:val="004F2686"/>
    <w:rsid w:val="004F5411"/>
    <w:rsid w:val="004F681C"/>
    <w:rsid w:val="0050058C"/>
    <w:rsid w:val="005027FE"/>
    <w:rsid w:val="00506090"/>
    <w:rsid w:val="00515558"/>
    <w:rsid w:val="00517760"/>
    <w:rsid w:val="005217C8"/>
    <w:rsid w:val="005228D1"/>
    <w:rsid w:val="0052424F"/>
    <w:rsid w:val="00530EE5"/>
    <w:rsid w:val="005312E9"/>
    <w:rsid w:val="005328C5"/>
    <w:rsid w:val="00534E36"/>
    <w:rsid w:val="005372AD"/>
    <w:rsid w:val="00544173"/>
    <w:rsid w:val="00544B4D"/>
    <w:rsid w:val="005462E9"/>
    <w:rsid w:val="00552CFE"/>
    <w:rsid w:val="00553005"/>
    <w:rsid w:val="00555AD0"/>
    <w:rsid w:val="00556EC3"/>
    <w:rsid w:val="00560554"/>
    <w:rsid w:val="00561FC0"/>
    <w:rsid w:val="005626D5"/>
    <w:rsid w:val="00562F71"/>
    <w:rsid w:val="005711DA"/>
    <w:rsid w:val="005754A6"/>
    <w:rsid w:val="005769EC"/>
    <w:rsid w:val="00580DE9"/>
    <w:rsid w:val="00581A41"/>
    <w:rsid w:val="00584E30"/>
    <w:rsid w:val="00587833"/>
    <w:rsid w:val="005910F0"/>
    <w:rsid w:val="0059137B"/>
    <w:rsid w:val="00591533"/>
    <w:rsid w:val="005926DA"/>
    <w:rsid w:val="005927D1"/>
    <w:rsid w:val="005A251F"/>
    <w:rsid w:val="005A4D44"/>
    <w:rsid w:val="005B16DC"/>
    <w:rsid w:val="005B1CBD"/>
    <w:rsid w:val="005B6964"/>
    <w:rsid w:val="005C3409"/>
    <w:rsid w:val="005C43FA"/>
    <w:rsid w:val="005C4693"/>
    <w:rsid w:val="005C5274"/>
    <w:rsid w:val="005C5C41"/>
    <w:rsid w:val="005C679F"/>
    <w:rsid w:val="005C6842"/>
    <w:rsid w:val="005C6C98"/>
    <w:rsid w:val="005D144F"/>
    <w:rsid w:val="005D5760"/>
    <w:rsid w:val="005D6517"/>
    <w:rsid w:val="005E6680"/>
    <w:rsid w:val="005F54B9"/>
    <w:rsid w:val="00600353"/>
    <w:rsid w:val="00601FE5"/>
    <w:rsid w:val="00602C03"/>
    <w:rsid w:val="0060325B"/>
    <w:rsid w:val="00604F08"/>
    <w:rsid w:val="00605BED"/>
    <w:rsid w:val="006113E4"/>
    <w:rsid w:val="00615D8A"/>
    <w:rsid w:val="006220C1"/>
    <w:rsid w:val="006262F1"/>
    <w:rsid w:val="006315CE"/>
    <w:rsid w:val="00636467"/>
    <w:rsid w:val="006405B9"/>
    <w:rsid w:val="00641C0B"/>
    <w:rsid w:val="00641E6B"/>
    <w:rsid w:val="00644010"/>
    <w:rsid w:val="00645FE5"/>
    <w:rsid w:val="006513FE"/>
    <w:rsid w:val="00652C56"/>
    <w:rsid w:val="0065699C"/>
    <w:rsid w:val="00656E69"/>
    <w:rsid w:val="00657A42"/>
    <w:rsid w:val="00660129"/>
    <w:rsid w:val="0066276F"/>
    <w:rsid w:val="006650BE"/>
    <w:rsid w:val="00665786"/>
    <w:rsid w:val="006754E8"/>
    <w:rsid w:val="00676758"/>
    <w:rsid w:val="00691977"/>
    <w:rsid w:val="006A2D29"/>
    <w:rsid w:val="006A5966"/>
    <w:rsid w:val="006B7A64"/>
    <w:rsid w:val="006C010F"/>
    <w:rsid w:val="006C0A30"/>
    <w:rsid w:val="006C2EDE"/>
    <w:rsid w:val="006C702F"/>
    <w:rsid w:val="006D4743"/>
    <w:rsid w:val="006E3A70"/>
    <w:rsid w:val="006F2638"/>
    <w:rsid w:val="006F2F62"/>
    <w:rsid w:val="007079E8"/>
    <w:rsid w:val="007145EA"/>
    <w:rsid w:val="00715537"/>
    <w:rsid w:val="00716CA6"/>
    <w:rsid w:val="007205CA"/>
    <w:rsid w:val="007229E9"/>
    <w:rsid w:val="00724B36"/>
    <w:rsid w:val="007317F4"/>
    <w:rsid w:val="00733D26"/>
    <w:rsid w:val="007476B6"/>
    <w:rsid w:val="007547BE"/>
    <w:rsid w:val="00770A4B"/>
    <w:rsid w:val="0077313C"/>
    <w:rsid w:val="007765ED"/>
    <w:rsid w:val="0078013F"/>
    <w:rsid w:val="00783888"/>
    <w:rsid w:val="00791F49"/>
    <w:rsid w:val="00793D8F"/>
    <w:rsid w:val="007953F4"/>
    <w:rsid w:val="007970FC"/>
    <w:rsid w:val="007A02EA"/>
    <w:rsid w:val="007A5D17"/>
    <w:rsid w:val="007A7BA7"/>
    <w:rsid w:val="007B45D3"/>
    <w:rsid w:val="007B4628"/>
    <w:rsid w:val="007C2680"/>
    <w:rsid w:val="007C3B7B"/>
    <w:rsid w:val="007C458A"/>
    <w:rsid w:val="007C4701"/>
    <w:rsid w:val="007C781B"/>
    <w:rsid w:val="007D2115"/>
    <w:rsid w:val="007D2744"/>
    <w:rsid w:val="007D3E3D"/>
    <w:rsid w:val="007D545C"/>
    <w:rsid w:val="007D7A8B"/>
    <w:rsid w:val="007E2D33"/>
    <w:rsid w:val="007E46D9"/>
    <w:rsid w:val="007F2973"/>
    <w:rsid w:val="007F29BF"/>
    <w:rsid w:val="007F6859"/>
    <w:rsid w:val="0080007A"/>
    <w:rsid w:val="00806E64"/>
    <w:rsid w:val="00810ABD"/>
    <w:rsid w:val="00814F2A"/>
    <w:rsid w:val="00823B6D"/>
    <w:rsid w:val="00824C9B"/>
    <w:rsid w:val="00825E08"/>
    <w:rsid w:val="00832F76"/>
    <w:rsid w:val="00840B40"/>
    <w:rsid w:val="008410B1"/>
    <w:rsid w:val="008420E6"/>
    <w:rsid w:val="00842E63"/>
    <w:rsid w:val="00844EA1"/>
    <w:rsid w:val="00845B44"/>
    <w:rsid w:val="00845DC9"/>
    <w:rsid w:val="008461FC"/>
    <w:rsid w:val="0085222F"/>
    <w:rsid w:val="008562C7"/>
    <w:rsid w:val="0085639B"/>
    <w:rsid w:val="00862B98"/>
    <w:rsid w:val="00863CD2"/>
    <w:rsid w:val="00865677"/>
    <w:rsid w:val="008721EA"/>
    <w:rsid w:val="008772F2"/>
    <w:rsid w:val="0088084F"/>
    <w:rsid w:val="00881AD1"/>
    <w:rsid w:val="00883666"/>
    <w:rsid w:val="008836A4"/>
    <w:rsid w:val="00884EDB"/>
    <w:rsid w:val="0088747B"/>
    <w:rsid w:val="00892B9A"/>
    <w:rsid w:val="00892CAF"/>
    <w:rsid w:val="008931A8"/>
    <w:rsid w:val="008951B8"/>
    <w:rsid w:val="0089567B"/>
    <w:rsid w:val="0089753A"/>
    <w:rsid w:val="008A344B"/>
    <w:rsid w:val="008A5550"/>
    <w:rsid w:val="008A55D1"/>
    <w:rsid w:val="008B013E"/>
    <w:rsid w:val="008B093B"/>
    <w:rsid w:val="008B5183"/>
    <w:rsid w:val="008C327F"/>
    <w:rsid w:val="008C4F91"/>
    <w:rsid w:val="008C6892"/>
    <w:rsid w:val="008D02E6"/>
    <w:rsid w:val="008D207F"/>
    <w:rsid w:val="008E16AD"/>
    <w:rsid w:val="008E4ED1"/>
    <w:rsid w:val="008F0963"/>
    <w:rsid w:val="008F0BC5"/>
    <w:rsid w:val="008F42D4"/>
    <w:rsid w:val="008F7264"/>
    <w:rsid w:val="008F7B77"/>
    <w:rsid w:val="00903683"/>
    <w:rsid w:val="00905B0E"/>
    <w:rsid w:val="00905CFA"/>
    <w:rsid w:val="00906B15"/>
    <w:rsid w:val="00907F1E"/>
    <w:rsid w:val="00914EC2"/>
    <w:rsid w:val="00924483"/>
    <w:rsid w:val="00945918"/>
    <w:rsid w:val="009556BD"/>
    <w:rsid w:val="00961069"/>
    <w:rsid w:val="00962ACF"/>
    <w:rsid w:val="0096628F"/>
    <w:rsid w:val="009677BC"/>
    <w:rsid w:val="00976B72"/>
    <w:rsid w:val="00981B0F"/>
    <w:rsid w:val="00983B30"/>
    <w:rsid w:val="00987B2E"/>
    <w:rsid w:val="009961B5"/>
    <w:rsid w:val="00996BAA"/>
    <w:rsid w:val="00996FEE"/>
    <w:rsid w:val="009A192C"/>
    <w:rsid w:val="009A6A03"/>
    <w:rsid w:val="009A741F"/>
    <w:rsid w:val="009B22E4"/>
    <w:rsid w:val="009B3F38"/>
    <w:rsid w:val="009D5D59"/>
    <w:rsid w:val="009D6E6C"/>
    <w:rsid w:val="009D6EA3"/>
    <w:rsid w:val="009D7AB7"/>
    <w:rsid w:val="009E562A"/>
    <w:rsid w:val="009F0AD5"/>
    <w:rsid w:val="009F5088"/>
    <w:rsid w:val="009F6349"/>
    <w:rsid w:val="00A04B0D"/>
    <w:rsid w:val="00A11458"/>
    <w:rsid w:val="00A14F2C"/>
    <w:rsid w:val="00A211C9"/>
    <w:rsid w:val="00A214AA"/>
    <w:rsid w:val="00A23F27"/>
    <w:rsid w:val="00A24F54"/>
    <w:rsid w:val="00A54CDE"/>
    <w:rsid w:val="00A570F7"/>
    <w:rsid w:val="00A57266"/>
    <w:rsid w:val="00A60085"/>
    <w:rsid w:val="00A62ED0"/>
    <w:rsid w:val="00A67C0E"/>
    <w:rsid w:val="00A80A4C"/>
    <w:rsid w:val="00A81174"/>
    <w:rsid w:val="00A90C14"/>
    <w:rsid w:val="00A912C6"/>
    <w:rsid w:val="00A94FE6"/>
    <w:rsid w:val="00A961C5"/>
    <w:rsid w:val="00AA4ED8"/>
    <w:rsid w:val="00AA6667"/>
    <w:rsid w:val="00AB0D10"/>
    <w:rsid w:val="00AB4382"/>
    <w:rsid w:val="00AB467E"/>
    <w:rsid w:val="00AB5304"/>
    <w:rsid w:val="00AB6021"/>
    <w:rsid w:val="00AC5534"/>
    <w:rsid w:val="00AC7444"/>
    <w:rsid w:val="00AD26C8"/>
    <w:rsid w:val="00AD3A20"/>
    <w:rsid w:val="00AE0323"/>
    <w:rsid w:val="00AE3685"/>
    <w:rsid w:val="00AE3FC6"/>
    <w:rsid w:val="00AE56F2"/>
    <w:rsid w:val="00AE6864"/>
    <w:rsid w:val="00AF5F8E"/>
    <w:rsid w:val="00AF6834"/>
    <w:rsid w:val="00B00272"/>
    <w:rsid w:val="00B00CEE"/>
    <w:rsid w:val="00B03503"/>
    <w:rsid w:val="00B05619"/>
    <w:rsid w:val="00B1075B"/>
    <w:rsid w:val="00B17BBB"/>
    <w:rsid w:val="00B20B66"/>
    <w:rsid w:val="00B22ECF"/>
    <w:rsid w:val="00B241F9"/>
    <w:rsid w:val="00B35B40"/>
    <w:rsid w:val="00B3770D"/>
    <w:rsid w:val="00B40F48"/>
    <w:rsid w:val="00B44D89"/>
    <w:rsid w:val="00B47196"/>
    <w:rsid w:val="00B619B9"/>
    <w:rsid w:val="00B64328"/>
    <w:rsid w:val="00B656FD"/>
    <w:rsid w:val="00B65E16"/>
    <w:rsid w:val="00B71F30"/>
    <w:rsid w:val="00B73FA1"/>
    <w:rsid w:val="00B77829"/>
    <w:rsid w:val="00B826E1"/>
    <w:rsid w:val="00B82A8F"/>
    <w:rsid w:val="00B84FD8"/>
    <w:rsid w:val="00B85E1F"/>
    <w:rsid w:val="00B90829"/>
    <w:rsid w:val="00B94CD6"/>
    <w:rsid w:val="00BA2F0D"/>
    <w:rsid w:val="00BB0878"/>
    <w:rsid w:val="00BB0C2F"/>
    <w:rsid w:val="00BB3229"/>
    <w:rsid w:val="00BB763A"/>
    <w:rsid w:val="00BC2F84"/>
    <w:rsid w:val="00BC610D"/>
    <w:rsid w:val="00BC722D"/>
    <w:rsid w:val="00BC78C1"/>
    <w:rsid w:val="00BD23ED"/>
    <w:rsid w:val="00BD6C78"/>
    <w:rsid w:val="00BE4D09"/>
    <w:rsid w:val="00BF1F70"/>
    <w:rsid w:val="00C00611"/>
    <w:rsid w:val="00C02CFA"/>
    <w:rsid w:val="00C045E6"/>
    <w:rsid w:val="00C078D7"/>
    <w:rsid w:val="00C10A49"/>
    <w:rsid w:val="00C10B70"/>
    <w:rsid w:val="00C118F1"/>
    <w:rsid w:val="00C202B1"/>
    <w:rsid w:val="00C220F4"/>
    <w:rsid w:val="00C248F7"/>
    <w:rsid w:val="00C24F6A"/>
    <w:rsid w:val="00C264E5"/>
    <w:rsid w:val="00C33ACA"/>
    <w:rsid w:val="00C471B9"/>
    <w:rsid w:val="00C566AB"/>
    <w:rsid w:val="00C5761E"/>
    <w:rsid w:val="00C577B0"/>
    <w:rsid w:val="00C60839"/>
    <w:rsid w:val="00C630C3"/>
    <w:rsid w:val="00C71F49"/>
    <w:rsid w:val="00C748BF"/>
    <w:rsid w:val="00C76812"/>
    <w:rsid w:val="00C809FA"/>
    <w:rsid w:val="00C81719"/>
    <w:rsid w:val="00C9052C"/>
    <w:rsid w:val="00C9088D"/>
    <w:rsid w:val="00C95F95"/>
    <w:rsid w:val="00CA1A22"/>
    <w:rsid w:val="00CA3A9C"/>
    <w:rsid w:val="00CA54CA"/>
    <w:rsid w:val="00CB2502"/>
    <w:rsid w:val="00CB2B55"/>
    <w:rsid w:val="00CB322A"/>
    <w:rsid w:val="00CC1CCE"/>
    <w:rsid w:val="00CC383E"/>
    <w:rsid w:val="00CC3EE8"/>
    <w:rsid w:val="00CC6FEC"/>
    <w:rsid w:val="00CD0695"/>
    <w:rsid w:val="00CD07DB"/>
    <w:rsid w:val="00CD4667"/>
    <w:rsid w:val="00CE02A2"/>
    <w:rsid w:val="00CE0803"/>
    <w:rsid w:val="00CE17D5"/>
    <w:rsid w:val="00CE2215"/>
    <w:rsid w:val="00CE3FB0"/>
    <w:rsid w:val="00CE51D7"/>
    <w:rsid w:val="00CF19CB"/>
    <w:rsid w:val="00CF288E"/>
    <w:rsid w:val="00CF30EF"/>
    <w:rsid w:val="00CF3361"/>
    <w:rsid w:val="00CF500B"/>
    <w:rsid w:val="00D032AD"/>
    <w:rsid w:val="00D04EEF"/>
    <w:rsid w:val="00D05947"/>
    <w:rsid w:val="00D05D61"/>
    <w:rsid w:val="00D14A84"/>
    <w:rsid w:val="00D231DB"/>
    <w:rsid w:val="00D23DF7"/>
    <w:rsid w:val="00D24BF7"/>
    <w:rsid w:val="00D25F9C"/>
    <w:rsid w:val="00D3349D"/>
    <w:rsid w:val="00D37FFB"/>
    <w:rsid w:val="00D42F37"/>
    <w:rsid w:val="00D47216"/>
    <w:rsid w:val="00D5163B"/>
    <w:rsid w:val="00D5468F"/>
    <w:rsid w:val="00D64033"/>
    <w:rsid w:val="00D6598B"/>
    <w:rsid w:val="00D679FD"/>
    <w:rsid w:val="00D7233A"/>
    <w:rsid w:val="00D77712"/>
    <w:rsid w:val="00D812AE"/>
    <w:rsid w:val="00D8189B"/>
    <w:rsid w:val="00D819E0"/>
    <w:rsid w:val="00D828F6"/>
    <w:rsid w:val="00D82D46"/>
    <w:rsid w:val="00D85E56"/>
    <w:rsid w:val="00D90A29"/>
    <w:rsid w:val="00D92525"/>
    <w:rsid w:val="00D92D4E"/>
    <w:rsid w:val="00D93539"/>
    <w:rsid w:val="00D93850"/>
    <w:rsid w:val="00D94132"/>
    <w:rsid w:val="00D947AC"/>
    <w:rsid w:val="00D956CF"/>
    <w:rsid w:val="00D975DF"/>
    <w:rsid w:val="00D97F17"/>
    <w:rsid w:val="00DA1504"/>
    <w:rsid w:val="00DA35F9"/>
    <w:rsid w:val="00DA7C9B"/>
    <w:rsid w:val="00DC054A"/>
    <w:rsid w:val="00DC07CD"/>
    <w:rsid w:val="00DC1473"/>
    <w:rsid w:val="00DC1DA6"/>
    <w:rsid w:val="00DC305E"/>
    <w:rsid w:val="00DC37E2"/>
    <w:rsid w:val="00DC7E03"/>
    <w:rsid w:val="00DD0EA9"/>
    <w:rsid w:val="00DD1A33"/>
    <w:rsid w:val="00DD1B89"/>
    <w:rsid w:val="00DD28EE"/>
    <w:rsid w:val="00DD41D4"/>
    <w:rsid w:val="00DD4616"/>
    <w:rsid w:val="00DD74BB"/>
    <w:rsid w:val="00DE4FAA"/>
    <w:rsid w:val="00DE7192"/>
    <w:rsid w:val="00DF4876"/>
    <w:rsid w:val="00DF5DB8"/>
    <w:rsid w:val="00E0537A"/>
    <w:rsid w:val="00E07EAC"/>
    <w:rsid w:val="00E1300B"/>
    <w:rsid w:val="00E16332"/>
    <w:rsid w:val="00E23B1E"/>
    <w:rsid w:val="00E317E6"/>
    <w:rsid w:val="00E32380"/>
    <w:rsid w:val="00E339B3"/>
    <w:rsid w:val="00E35FA8"/>
    <w:rsid w:val="00E42AA7"/>
    <w:rsid w:val="00E43991"/>
    <w:rsid w:val="00E573FF"/>
    <w:rsid w:val="00E62D55"/>
    <w:rsid w:val="00E6369D"/>
    <w:rsid w:val="00E66FCF"/>
    <w:rsid w:val="00E70F5C"/>
    <w:rsid w:val="00E71198"/>
    <w:rsid w:val="00E761F4"/>
    <w:rsid w:val="00E77CE3"/>
    <w:rsid w:val="00E82334"/>
    <w:rsid w:val="00E82F54"/>
    <w:rsid w:val="00E83FC9"/>
    <w:rsid w:val="00E84050"/>
    <w:rsid w:val="00E854D2"/>
    <w:rsid w:val="00E9490B"/>
    <w:rsid w:val="00E95F33"/>
    <w:rsid w:val="00EA071E"/>
    <w:rsid w:val="00EA1361"/>
    <w:rsid w:val="00EA4943"/>
    <w:rsid w:val="00EB174F"/>
    <w:rsid w:val="00EB2607"/>
    <w:rsid w:val="00EB695A"/>
    <w:rsid w:val="00EB72FB"/>
    <w:rsid w:val="00EC7BE4"/>
    <w:rsid w:val="00EC7CC7"/>
    <w:rsid w:val="00EC7D13"/>
    <w:rsid w:val="00ED38C8"/>
    <w:rsid w:val="00ED448D"/>
    <w:rsid w:val="00ED7FCD"/>
    <w:rsid w:val="00EE36E3"/>
    <w:rsid w:val="00EE5390"/>
    <w:rsid w:val="00EE5587"/>
    <w:rsid w:val="00EE6412"/>
    <w:rsid w:val="00EF0A55"/>
    <w:rsid w:val="00EF20E1"/>
    <w:rsid w:val="00EF2230"/>
    <w:rsid w:val="00EF3D66"/>
    <w:rsid w:val="00EF3E0D"/>
    <w:rsid w:val="00EF50C9"/>
    <w:rsid w:val="00F05580"/>
    <w:rsid w:val="00F105D9"/>
    <w:rsid w:val="00F10B97"/>
    <w:rsid w:val="00F12990"/>
    <w:rsid w:val="00F13BB2"/>
    <w:rsid w:val="00F163E9"/>
    <w:rsid w:val="00F1657A"/>
    <w:rsid w:val="00F214BD"/>
    <w:rsid w:val="00F214F1"/>
    <w:rsid w:val="00F26AE8"/>
    <w:rsid w:val="00F30CAE"/>
    <w:rsid w:val="00F31EE7"/>
    <w:rsid w:val="00F35702"/>
    <w:rsid w:val="00F45FC0"/>
    <w:rsid w:val="00F46483"/>
    <w:rsid w:val="00F5308D"/>
    <w:rsid w:val="00F53ACA"/>
    <w:rsid w:val="00F60501"/>
    <w:rsid w:val="00F60ACC"/>
    <w:rsid w:val="00F61113"/>
    <w:rsid w:val="00F61E63"/>
    <w:rsid w:val="00F6264F"/>
    <w:rsid w:val="00F62695"/>
    <w:rsid w:val="00F63521"/>
    <w:rsid w:val="00F66679"/>
    <w:rsid w:val="00F67A02"/>
    <w:rsid w:val="00F72145"/>
    <w:rsid w:val="00F73695"/>
    <w:rsid w:val="00F7550F"/>
    <w:rsid w:val="00F76872"/>
    <w:rsid w:val="00F77822"/>
    <w:rsid w:val="00F778CE"/>
    <w:rsid w:val="00F83B9A"/>
    <w:rsid w:val="00F84B47"/>
    <w:rsid w:val="00F85065"/>
    <w:rsid w:val="00F90DA7"/>
    <w:rsid w:val="00F90E29"/>
    <w:rsid w:val="00F935D6"/>
    <w:rsid w:val="00FB361C"/>
    <w:rsid w:val="00FB7A53"/>
    <w:rsid w:val="00FC0C76"/>
    <w:rsid w:val="00FC3A27"/>
    <w:rsid w:val="00FC63D9"/>
    <w:rsid w:val="00FC7D37"/>
    <w:rsid w:val="00FD067F"/>
    <w:rsid w:val="00FD07EE"/>
    <w:rsid w:val="00FD4D2F"/>
    <w:rsid w:val="00FE7F25"/>
    <w:rsid w:val="00FF171E"/>
    <w:rsid w:val="00FF1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A4B30"/>
  <w15:docId w15:val="{9F52CB90-4269-48B4-96DF-1F4C9D68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36"/>
  </w:style>
  <w:style w:type="paragraph" w:styleId="Naslov1">
    <w:name w:val="heading 1"/>
    <w:basedOn w:val="Normal"/>
    <w:next w:val="Normal"/>
    <w:link w:val="Naslov1Char"/>
    <w:uiPriority w:val="9"/>
    <w:qFormat/>
    <w:rsid w:val="00E32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3A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641E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41E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ox457773">
    <w:name w:val="box_457773"/>
    <w:basedOn w:val="Normal"/>
    <w:rsid w:val="00E9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F1299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12990"/>
    <w:rPr>
      <w:rFonts w:ascii="Georgia" w:eastAsia="Georgia" w:hAnsi="Georgia" w:cs="Georgia"/>
      <w:sz w:val="24"/>
      <w:szCs w:val="24"/>
      <w:lang w:eastAsia="hr-HR" w:bidi="hr-HR"/>
    </w:rPr>
  </w:style>
  <w:style w:type="character" w:styleId="Hiperveza">
    <w:name w:val="Hyperlink"/>
    <w:basedOn w:val="Zadanifontodlomka"/>
    <w:uiPriority w:val="99"/>
    <w:unhideWhenUsed/>
    <w:rsid w:val="00FD067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22ECF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32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8C5"/>
  </w:style>
  <w:style w:type="paragraph" w:styleId="Podnoje">
    <w:name w:val="footer"/>
    <w:basedOn w:val="Normal"/>
    <w:link w:val="PodnojeChar"/>
    <w:uiPriority w:val="99"/>
    <w:unhideWhenUsed/>
    <w:rsid w:val="00532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8C5"/>
  </w:style>
  <w:style w:type="paragraph" w:styleId="Odlomakpopisa">
    <w:name w:val="List Paragraph"/>
    <w:basedOn w:val="Normal"/>
    <w:link w:val="OdlomakpopisaChar"/>
    <w:uiPriority w:val="34"/>
    <w:qFormat/>
    <w:rsid w:val="000B16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32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3AB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Reetkatablice1">
    <w:name w:val="Rešetka tablice1"/>
    <w:basedOn w:val="Obinatablica"/>
    <w:next w:val="Reetkatablice"/>
    <w:uiPriority w:val="59"/>
    <w:rsid w:val="00F3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CA3A9C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A3A9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A9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E62D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62D55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03029"/>
    <w:pPr>
      <w:tabs>
        <w:tab w:val="left" w:pos="440"/>
        <w:tab w:val="right" w:leader="dot" w:pos="9072"/>
      </w:tabs>
      <w:spacing w:after="100"/>
      <w:ind w:left="426" w:hanging="426"/>
    </w:pPr>
  </w:style>
  <w:style w:type="paragraph" w:styleId="Tablicaslika">
    <w:name w:val="table of figures"/>
    <w:basedOn w:val="Normal"/>
    <w:next w:val="Normal"/>
    <w:uiPriority w:val="99"/>
    <w:unhideWhenUsed/>
    <w:rsid w:val="00FD4D2F"/>
    <w:pPr>
      <w:spacing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D327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327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D3271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0D3271"/>
  </w:style>
  <w:style w:type="character" w:styleId="Naglaeno">
    <w:name w:val="Strong"/>
    <w:basedOn w:val="Zadanifontodlomka"/>
    <w:uiPriority w:val="22"/>
    <w:qFormat/>
    <w:rsid w:val="007F6859"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3D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33D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ighlight">
    <w:name w:val="highlight"/>
    <w:basedOn w:val="Zadanifontodlomka"/>
    <w:rsid w:val="00132F27"/>
  </w:style>
  <w:style w:type="paragraph" w:customStyle="1" w:styleId="TableParagraph">
    <w:name w:val="Table Paragraph"/>
    <w:basedOn w:val="Normal"/>
    <w:uiPriority w:val="1"/>
    <w:qFormat/>
    <w:rsid w:val="006405B9"/>
    <w:pPr>
      <w:widowControl w:val="0"/>
      <w:autoSpaceDE w:val="0"/>
      <w:autoSpaceDN w:val="0"/>
      <w:spacing w:after="0" w:line="240" w:lineRule="auto"/>
    </w:pPr>
    <w:rPr>
      <w:rFonts w:ascii="Georgia" w:eastAsia="Calibri" w:hAnsi="Georgia" w:cs="Georgia"/>
      <w:lang w:eastAsia="hr-HR"/>
    </w:rPr>
  </w:style>
  <w:style w:type="paragraph" w:styleId="StandardWeb">
    <w:name w:val="Normal (Web)"/>
    <w:basedOn w:val="Normal"/>
    <w:uiPriority w:val="99"/>
    <w:unhideWhenUsed/>
    <w:rsid w:val="0096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961069"/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381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155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zakon.hr/z/436/Zakon-o-upravljanju-dr%C5%BEavnom-imovin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narodne-novine.nn.hr/clanci/sluzbeni/2015_07_78_149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zakon.hr/z/244/Zakon-o-cestam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zakon.hr/z/652/Zakon-o-unapre%C4%91enju-poduzetni%C4%8Dke-infrastruktu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7FFC7F-609A-47AE-88D8-F493320F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3351</Words>
  <Characters>19101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PROVEDBI GODIŠNJEG PLANA UPRAVLJANJA IMOVINOM OPĆINE SIRAČ ZA 2025. GODINU</vt:lpstr>
      <vt:lpstr>GODIŠNJI PLAN UPRAVLJANJA IMOVINOM OPĆINE SIRAČ ZA 2020. GODINU</vt:lpstr>
    </vt:vector>
  </TitlesOfParts>
  <Company>REPUBLIKA HRVATSKA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PROVEDBI GODIŠNJEG PLANA UPRAVLJANJA IMOVINOM OPĆINE SIRAČ ZA 2025. GODINU</dc:title>
  <dc:subject>PRIJEDLOG</dc:subject>
  <dc:creator>Korisnik</dc:creator>
  <cp:keywords/>
  <dc:description/>
  <cp:lastModifiedBy>Općina Sirač</cp:lastModifiedBy>
  <cp:revision>2</cp:revision>
  <cp:lastPrinted>2025-03-25T07:54:00Z</cp:lastPrinted>
  <dcterms:created xsi:type="dcterms:W3CDTF">2026-03-12T12:29:00Z</dcterms:created>
  <dcterms:modified xsi:type="dcterms:W3CDTF">2026-03-12T12:29:00Z</dcterms:modified>
</cp:coreProperties>
</file>